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6434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9A75CF">
            <w:pPr>
              <w:pStyle w:val="19"/>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ICS  </w:t>
            </w:r>
          </w:p>
        </w:tc>
        <w:tc>
          <w:tcPr>
            <w:tcW w:w="8855" w:type="dxa"/>
          </w:tcPr>
          <w:p w14:paraId="07A66A29">
            <w:pPr>
              <w:pStyle w:val="19"/>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hint="eastAsia" w:ascii="黑体" w:hAnsi="黑体" w:eastAsia="黑体"/>
                <w:sz w:val="21"/>
                <w:szCs w:val="21"/>
              </w:rPr>
              <w:t>6</w:t>
            </w:r>
            <w:r>
              <w:rPr>
                <w:rFonts w:ascii="黑体" w:hAnsi="黑体" w:eastAsia="黑体"/>
                <w:sz w:val="21"/>
                <w:szCs w:val="21"/>
              </w:rPr>
              <w:t>5.020.20</w:t>
            </w:r>
          </w:p>
        </w:tc>
      </w:tr>
      <w:tr w14:paraId="3E1A7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1D1523">
            <w:pPr>
              <w:pStyle w:val="19"/>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09C0A22E">
            <w:pPr>
              <w:pStyle w:val="19"/>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hint="eastAsia" w:ascii="黑体" w:hAnsi="黑体" w:eastAsia="黑体"/>
                <w:sz w:val="21"/>
                <w:szCs w:val="21"/>
              </w:rPr>
              <w:t xml:space="preserve">B </w:t>
            </w:r>
            <w:r>
              <w:rPr>
                <w:rFonts w:ascii="黑体" w:hAnsi="黑体" w:eastAsia="黑体"/>
                <w:sz w:val="21"/>
                <w:szCs w:val="21"/>
              </w:rPr>
              <w:t>05</w:t>
            </w:r>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AF00C1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845057B">
            <w:pPr>
              <w:pStyle w:val="50"/>
              <w:framePr w:w="0" w:hRule="auto" w:wrap="auto" w:vAnchor="margin" w:hAnchor="text" w:xAlign="left" w:yAlign="inline"/>
              <w:rPr>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14</w:t>
            </w:r>
            <w:r>
              <w:fldChar w:fldCharType="end"/>
            </w:r>
            <w:bookmarkEnd w:id="1"/>
          </w:p>
        </w:tc>
      </w:tr>
    </w:tbl>
    <w:p w14:paraId="560D7280">
      <w:pPr>
        <w:pStyle w:val="51"/>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rPr>
        <w:fldChar w:fldCharType="begin">
          <w:ffData>
            <w:name w:val="c2"/>
            <w:enabled/>
            <w:calcOnExit w:val="0"/>
            <w:textInput/>
          </w:ffData>
        </w:fldChar>
      </w:r>
      <w:bookmarkStart w:id="2" w:name="c2"/>
      <w:r>
        <w:rPr>
          <w:rFonts w:ascii="Times New Roman" w:eastAsia="黑体"/>
          <w:b w:val="0"/>
          <w:w w:val="100"/>
          <w:sz w:val="48"/>
        </w:rPr>
        <w:instrText xml:space="preserve"> FORMTEXT </w:instrText>
      </w:r>
      <w:r>
        <w:rPr>
          <w:rFonts w:ascii="Times New Roman" w:eastAsia="黑体"/>
          <w:b w:val="0"/>
          <w:w w:val="100"/>
          <w:sz w:val="48"/>
        </w:rPr>
        <w:fldChar w:fldCharType="separate"/>
      </w:r>
      <w:r>
        <w:rPr>
          <w:rFonts w:hint="eastAsia" w:ascii="Times New Roman" w:eastAsia="黑体"/>
          <w:b w:val="0"/>
          <w:w w:val="100"/>
          <w:sz w:val="48"/>
        </w:rPr>
        <w:t>山西省</w:t>
      </w:r>
      <w:r>
        <w:rPr>
          <w:rFonts w:ascii="Times New Roman" w:eastAsia="黑体"/>
          <w:b w:val="0"/>
          <w:w w:val="100"/>
          <w:sz w:val="48"/>
        </w:rPr>
        <w:fldChar w:fldCharType="end"/>
      </w:r>
      <w:bookmarkEnd w:id="2"/>
      <w:r>
        <w:rPr>
          <w:rFonts w:hint="eastAsia" w:ascii="Times New Roman" w:eastAsia="黑体"/>
          <w:b w:val="0"/>
          <w:bCs w:val="0"/>
          <w:w w:val="100"/>
          <w:sz w:val="48"/>
          <w:szCs w:val="48"/>
        </w:rPr>
        <w:t>地方标准</w:t>
      </w:r>
    </w:p>
    <w:bookmarkEnd w:id="0"/>
    <w:p w14:paraId="5CEE7AA8">
      <w:pPr>
        <w:pStyle w:val="196"/>
        <w:rPr>
          <w:rFonts w:ascii="Times New Roman"/>
        </w:rPr>
      </w:pPr>
      <w:r>
        <w:rPr>
          <w:rFonts w:ascii="Times New Roman"/>
          <w:lang w:val="fr-FR"/>
        </w:rPr>
        <w:t>DB</w:t>
      </w:r>
      <w:r>
        <w:rPr>
          <w:rFonts w:ascii="Times New Roman"/>
        </w:rPr>
        <w:fldChar w:fldCharType="begin">
          <w:ffData>
            <w:name w:val="文字1"/>
            <w:enabled/>
            <w:calcOnExit w:val="0"/>
            <w:textInput>
              <w:default w:val="XX/T"/>
            </w:textInput>
          </w:ffData>
        </w:fldChar>
      </w:r>
      <w:bookmarkStart w:id="3" w:name="文字1"/>
      <w:r>
        <w:rPr>
          <w:rFonts w:ascii="Times New Roman"/>
          <w:lang w:val="fr-FR"/>
        </w:rPr>
        <w:instrText xml:space="preserve"> FORMTEXT </w:instrText>
      </w:r>
      <w:r>
        <w:rPr>
          <w:rFonts w:ascii="Times New Roman"/>
        </w:rPr>
        <w:fldChar w:fldCharType="separate"/>
      </w:r>
      <w:r>
        <w:rPr>
          <w:rFonts w:hint="eastAsia" w:ascii="Times New Roman"/>
          <w:lang w:val="fr-FR"/>
        </w:rPr>
        <w:t>14</w:t>
      </w:r>
      <w:r>
        <w:rPr>
          <w:rFonts w:ascii="Times New Roman"/>
          <w:lang w:val="fr-FR"/>
        </w:rPr>
        <w:t>/T</w:t>
      </w:r>
      <w:r>
        <w:rPr>
          <w:rFonts w:ascii="Times New Roman"/>
        </w:rPr>
        <w:fldChar w:fldCharType="end"/>
      </w:r>
      <w:bookmarkEnd w:id="3"/>
      <w:r>
        <w:rPr>
          <w:rFonts w:ascii="Times New Roman"/>
          <w:lang w:val="fr-FR"/>
        </w:rPr>
        <w:t xml:space="preserve"> </w:t>
      </w:r>
      <w:r>
        <w:rPr>
          <w:rFonts w:hint="eastAsia" w:ascii="Times New Roman"/>
        </w:rPr>
        <w:t>1126</w:t>
      </w:r>
      <w:r>
        <w:rPr>
          <w:rFonts w:ascii="Times New Roman"/>
          <w:lang w:val="fr-FR"/>
        </w:rPr>
        <w:t>—</w:t>
      </w:r>
      <w:r>
        <w:rPr>
          <w:rFonts w:hint="eastAsia" w:ascii="Times New Roman"/>
          <w:lang w:val="en-US" w:eastAsia="zh-CN"/>
        </w:rPr>
        <w:t>XX</w:t>
      </w:r>
      <w:r>
        <w:rPr>
          <w:rFonts w:hint="eastAsia" w:ascii="Times New Roman"/>
        </w:rPr>
        <w:t>XX</w:t>
      </w:r>
    </w:p>
    <w:p w14:paraId="43E456EC">
      <w:pPr>
        <w:pStyle w:val="197"/>
        <w:rPr>
          <w:rFonts w:hint="eastAsia"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xml:space="preserve">代替 DB14/T </w:t>
      </w:r>
      <w:r>
        <w:rPr>
          <w:rFonts w:hint="eastAsia" w:hAnsi="黑体"/>
        </w:rPr>
        <w:t>1126—2</w:t>
      </w:r>
      <w:r>
        <w:rPr>
          <w:rFonts w:hAnsi="黑体"/>
        </w:rPr>
        <w:t>01</w:t>
      </w:r>
      <w:r>
        <w:rPr>
          <w:rFonts w:hint="eastAsia" w:hAnsi="黑体"/>
        </w:rPr>
        <w:t>5</w:t>
      </w:r>
      <w:r>
        <w:rPr>
          <w:rFonts w:hAnsi="黑体"/>
        </w:rPr>
        <w:fldChar w:fldCharType="end"/>
      </w:r>
      <w:bookmarkEnd w:id="4"/>
    </w:p>
    <w:p w14:paraId="29E7780C">
      <w:pPr>
        <w:pStyle w:val="197"/>
        <w:rPr>
          <w:rFonts w:ascii="Times New Roman"/>
        </w:rPr>
      </w:pPr>
    </w:p>
    <w:p w14:paraId="2FF535CF">
      <w:pPr>
        <w:spacing w:line="240" w:lineRule="auto"/>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2699385</wp:posOffset>
                </wp:positionV>
                <wp:extent cx="6120130" cy="0"/>
                <wp:effectExtent l="0" t="0" r="0" b="0"/>
                <wp:wrapNone/>
                <wp:docPr id="73"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6" o:spid="_x0000_s1026" o:spt="20" style="position:absolute;left:0pt;margin-left:70.9pt;margin-top:212.55pt;height:0pt;width:481.9pt;mso-position-horizontal-relative:page;mso-position-vertical-relative:page;z-index:251659264;mso-width-relative:page;mso-height-relative:page;" filled="f" stroked="t"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U3idItcAAAAM&#10;AQAADwAAAAAAAAABACAAAAAiAAAAZHJzL2Rvd25yZXYueG1sUEsBAhQAFAAAAAgAh07iQGlPklfk&#10;AQAAqwMAAA4AAAAAAAAAAQAgAAAAJgEAAGRycy9lMm9Eb2MueG1sUEsFBgAAAAAGAAYAWQEAAHwF&#10;AAAAAA==&#10;">
                <v:fill on="f" focussize="0,0"/>
                <v:stroke color="#000000" joinstyle="round"/>
                <v:imagedata o:title=""/>
                <o:lock v:ext="edit" aspectratio="f"/>
              </v:line>
            </w:pict>
          </mc:Fallback>
        </mc:AlternateContent>
      </w:r>
    </w:p>
    <w:p w14:paraId="6D1E0AAE">
      <w:pPr>
        <w:pStyle w:val="51"/>
        <w:framePr w:w="9639" w:h="6976" w:hRule="exact" w:hSpace="0" w:vSpace="0" w:wrap="around" w:hAnchor="page" w:y="6408"/>
        <w:jc w:val="center"/>
        <w:rPr>
          <w:rFonts w:ascii="Times New Roman" w:eastAsia="黑体"/>
          <w:b w:val="0"/>
          <w:bCs w:val="0"/>
          <w:w w:val="100"/>
        </w:rPr>
      </w:pPr>
    </w:p>
    <w:p w14:paraId="348CB62A">
      <w:pPr>
        <w:pStyle w:val="198"/>
        <w:framePr w:h="6974" w:hRule="exact" w:wrap="around" w:x="1419" w:anchorLock="1"/>
        <w:rPr>
          <w:rFonts w:ascii="Times New Roman" w:hAnsi="Times New Roman"/>
        </w:rPr>
      </w:pPr>
      <w:r>
        <w:rPr>
          <w:rFonts w:hint="eastAsia" w:ascii="Times New Roman" w:hAnsi="Times New Roman"/>
        </w:rPr>
        <w:t>扁桃生产技术规程</w:t>
      </w:r>
    </w:p>
    <w:p w14:paraId="153533F7">
      <w:pPr>
        <w:framePr w:w="9639" w:h="6974" w:hRule="exact" w:wrap="around" w:vAnchor="page" w:hAnchor="page" w:x="1419" w:y="6408" w:anchorLock="1"/>
        <w:ind w:left="-1418"/>
        <w:rPr>
          <w:rFonts w:ascii="Times New Roman" w:hAnsi="Times New Roman"/>
        </w:rPr>
      </w:pPr>
    </w:p>
    <w:p w14:paraId="351741E1">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5"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5"/>
    </w:p>
    <w:p w14:paraId="58472296">
      <w:pPr>
        <w:framePr w:w="9639" w:h="6974" w:hRule="exact" w:wrap="around" w:vAnchor="page" w:hAnchor="page" w:x="1419" w:y="6408" w:anchorLock="1"/>
        <w:spacing w:line="760" w:lineRule="exact"/>
        <w:ind w:left="-1418"/>
        <w:rPr>
          <w:rFonts w:ascii="Times New Roman" w:hAnsi="Times New Roman"/>
        </w:rPr>
      </w:pPr>
    </w:p>
    <w:p w14:paraId="3C06CA21">
      <w:pPr>
        <w:pStyle w:val="126"/>
        <w:framePr w:w="9639" w:h="6974" w:hRule="exact" w:wrap="around" w:vAnchor="page" w:hAnchor="page" w:x="1419" w:y="6408" w:anchorLock="1"/>
        <w:textAlignment w:val="bottom"/>
        <w:rPr>
          <w:rFonts w:eastAsia="黑体"/>
          <w:szCs w:val="28"/>
        </w:rPr>
      </w:pPr>
    </w:p>
    <w:p w14:paraId="6B853492">
      <w:pPr>
        <w:pStyle w:val="126"/>
        <w:framePr w:w="9639" w:h="6974" w:hRule="exact" w:wrap="around" w:vAnchor="page" w:hAnchor="page" w:x="1419" w:y="6408" w:anchorLock="1"/>
        <w:spacing w:before="440" w:after="160"/>
        <w:textAlignment w:val="bottom"/>
        <w:rPr>
          <w:sz w:val="24"/>
          <w:szCs w:val="28"/>
        </w:rPr>
      </w:pPr>
    </w:p>
    <w:p w14:paraId="703EA40C">
      <w:pPr>
        <w:pStyle w:val="126"/>
        <w:framePr w:w="9639" w:h="6974" w:hRule="exact" w:wrap="around" w:vAnchor="page" w:hAnchor="page" w:x="1419" w:y="6408" w:anchorLock="1"/>
        <w:spacing w:before="180" w:line="240" w:lineRule="atLeast"/>
        <w:textAlignment w:val="bottom"/>
        <w:rPr>
          <w:sz w:val="21"/>
          <w:szCs w:val="28"/>
        </w:rPr>
      </w:pPr>
      <w:r>
        <w:rPr>
          <w:rFonts w:hint="eastAsia"/>
          <w:sz w:val="21"/>
          <w:szCs w:val="28"/>
        </w:rPr>
        <w:t>（征求意见稿）</w:t>
      </w:r>
    </w:p>
    <w:p w14:paraId="2E28467D">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5A24F310">
      <w:pPr>
        <w:pStyle w:val="194"/>
        <w:framePr w:wrap="around" w:y="14176"/>
      </w:pPr>
      <w:r>
        <w:rPr>
          <w:rFonts w:hint="eastAsia"/>
        </w:rPr>
        <w:t>2024</w:t>
      </w:r>
      <w:r>
        <w:t xml:space="preserve"> - </w:t>
      </w:r>
      <w:r>
        <w:fldChar w:fldCharType="begin">
          <w:ffData>
            <w:name w:val="PLSH_DATE_M"/>
            <w:enabled/>
            <w:calcOnExit w:val="0"/>
            <w:textInput>
              <w:default w:val="XX"/>
              <w:maxLength w:val="2"/>
            </w:textInput>
          </w:ffData>
        </w:fldChar>
      </w:r>
      <w:bookmarkStart w:id="6" w:name="PLSH_DATE_M"/>
      <w:r>
        <w:instrText xml:space="preserve"> FORMTEXT </w:instrText>
      </w:r>
      <w:r>
        <w:fldChar w:fldCharType="separate"/>
      </w:r>
      <w:r>
        <w:t>XX</w:t>
      </w:r>
      <w:r>
        <w:fldChar w:fldCharType="end"/>
      </w:r>
      <w:bookmarkEnd w:id="6"/>
      <w:r>
        <w:t xml:space="preserve"> - </w:t>
      </w:r>
      <w:r>
        <w:fldChar w:fldCharType="begin">
          <w:ffData>
            <w:name w:val="PLSH_DATE_D"/>
            <w:enabled/>
            <w:calcOnExit w:val="0"/>
            <w:textInput>
              <w:default w:val="XX"/>
              <w:maxLength w:val="2"/>
            </w:textInput>
          </w:ffData>
        </w:fldChar>
      </w:r>
      <w:bookmarkStart w:id="7" w:name="PLSH_DATE_D"/>
      <w:r>
        <w:instrText xml:space="preserve"> FORMTEXT </w:instrText>
      </w:r>
      <w:r>
        <w:fldChar w:fldCharType="separate"/>
      </w:r>
      <w:r>
        <w:t>XX</w:t>
      </w:r>
      <w:r>
        <w:fldChar w:fldCharType="end"/>
      </w:r>
      <w:bookmarkEnd w:id="7"/>
      <w:r>
        <w:rPr>
          <w:rFonts w:hint="eastAsia"/>
        </w:rPr>
        <w:t>发布</w:t>
      </w:r>
    </w:p>
    <w:p w14:paraId="568D9BDB">
      <w:pPr>
        <w:pStyle w:val="195"/>
        <w:framePr w:wrap="around" w:y="14176"/>
      </w:pPr>
      <w:r>
        <w:rPr>
          <w:rFonts w:hint="eastAsia"/>
        </w:rPr>
        <w:t>2024</w:t>
      </w:r>
      <w:r>
        <w:t xml:space="preserve"> - </w:t>
      </w:r>
      <w:r>
        <w:fldChar w:fldCharType="begin">
          <w:ffData>
            <w:name w:val="CROT_DATE_M"/>
            <w:enabled/>
            <w:calcOnExit w:val="0"/>
            <w:textInput>
              <w:default w:val="XX"/>
              <w:maxLength w:val="2"/>
            </w:textInput>
          </w:ffData>
        </w:fldChar>
      </w:r>
      <w:bookmarkStart w:id="8" w:name="CROT_DATE_M"/>
      <w:r>
        <w:instrText xml:space="preserve"> FORMTEXT </w:instrText>
      </w:r>
      <w:r>
        <w:fldChar w:fldCharType="separate"/>
      </w:r>
      <w:r>
        <w:t>XX</w:t>
      </w:r>
      <w:r>
        <w:fldChar w:fldCharType="end"/>
      </w:r>
      <w:bookmarkEnd w:id="8"/>
      <w:r>
        <w:t xml:space="preserve"> - </w:t>
      </w:r>
      <w:r>
        <w:fldChar w:fldCharType="begin">
          <w:ffData>
            <w:name w:val="CROT_DATE_D"/>
            <w:enabled/>
            <w:calcOnExit w:val="0"/>
            <w:textInput>
              <w:default w:val="XX"/>
              <w:maxLength w:val="2"/>
            </w:textInput>
          </w:ffData>
        </w:fldChar>
      </w:r>
      <w:bookmarkStart w:id="9" w:name="CROT_DATE_D"/>
      <w:r>
        <w:instrText xml:space="preserve"> FORMTEXT </w:instrText>
      </w:r>
      <w:r>
        <w:fldChar w:fldCharType="separate"/>
      </w:r>
      <w:r>
        <w:t>XX</w:t>
      </w:r>
      <w:r>
        <w:fldChar w:fldCharType="end"/>
      </w:r>
      <w:bookmarkEnd w:id="9"/>
      <w:r>
        <w:rPr>
          <w:rFonts w:hint="eastAsia"/>
        </w:rPr>
        <w:t>实施</w:t>
      </w:r>
    </w:p>
    <w:p w14:paraId="11A101BE">
      <w:pPr>
        <w:pStyle w:val="152"/>
        <w:framePr w:h="584" w:hRule="exact" w:hSpace="181" w:vSpace="181" w:wrap="around" w:y="15027"/>
        <w:rPr>
          <w:rFonts w:ascii="Times New Roman"/>
        </w:rPr>
      </w:pPr>
      <w:r>
        <w:rPr>
          <w:rFonts w:hint="eastAsia" w:ascii="Times New Roman"/>
          <w:w w:val="100"/>
          <w:sz w:val="28"/>
        </w:rPr>
        <w:t>山西省市场监督管理局</w:t>
      </w:r>
      <w:r>
        <w:rPr>
          <w:rFonts w:ascii="Times New Roman"/>
          <w:w w:val="100"/>
          <w:sz w:val="28"/>
        </w:rPr>
        <w:t>  </w:t>
      </w:r>
      <w:r>
        <w:rPr>
          <w:rStyle w:val="230"/>
          <w:rFonts w:hint="eastAsia" w:ascii="Times New Roman"/>
          <w:position w:val="0"/>
        </w:rPr>
        <w:t>发</w:t>
      </w:r>
      <w:r>
        <w:rPr>
          <w:rStyle w:val="230"/>
          <w:rFonts w:hint="eastAsia" w:ascii="Times New Roman"/>
          <w:spacing w:val="0"/>
          <w:position w:val="0"/>
        </w:rPr>
        <w:t>布</w:t>
      </w:r>
    </w:p>
    <w:p w14:paraId="4DE6D02B">
      <w:pPr>
        <w:rPr>
          <w:rFonts w:ascii="Times New Roman" w:hAnsi="Times New Roman"/>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9251950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5pt;height:0pt;width:481.9pt;mso-position-horizontal-relative:page;mso-position-vertical-relative:page;z-index:251660288;mso-width-relative:page;mso-height-relative:page;" filled="f" stroked="t"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IIroS1wAAAA4B&#10;AAAPAAAAAAAAAAEAIAAAACIAAABkcnMvZG93bnJldi54bWxQSwECFAAUAAAACACHTuJA6XYfNeMB&#10;AACqAwAADgAAAAAAAAABACAAAAAmAQAAZHJzL2Uyb0RvYy54bWxQSwUGAAAAAAYABgBZAQAAewUA&#10;AAAA&#10;">
                <v:fill on="f" focussize="0,0"/>
                <v:stroke color="#000000" joinstyle="round"/>
                <v:imagedata o:title=""/>
                <o:lock v:ext="edit" aspectratio="f"/>
                <w10:anchorlock/>
              </v:line>
            </w:pict>
          </mc:Fallback>
        </mc:AlternateContent>
      </w:r>
    </w:p>
    <w:p w14:paraId="337C9521">
      <w:pPr>
        <w:pStyle w:val="90"/>
        <w:spacing w:after="468"/>
        <w:rPr>
          <w:rFonts w:ascii="Times New Roman"/>
        </w:rPr>
      </w:pPr>
      <w:bookmarkStart w:id="10" w:name="_Toc4946"/>
      <w:bookmarkStart w:id="11" w:name="_Toc27239"/>
      <w:bookmarkStart w:id="12" w:name="BookMark1"/>
      <w:r>
        <w:rPr>
          <w:rFonts w:ascii="Times New Roman"/>
          <w:spacing w:val="320"/>
        </w:rPr>
        <w:t>前</w:t>
      </w:r>
      <w:r>
        <w:rPr>
          <w:rFonts w:ascii="Times New Roman"/>
        </w:rPr>
        <w:t>言</w:t>
      </w:r>
      <w:bookmarkEnd w:id="10"/>
      <w:bookmarkEnd w:id="11"/>
    </w:p>
    <w:p w14:paraId="5A72D7DF">
      <w:pPr>
        <w:suppressAutoHyphens/>
        <w:adjustRightInd/>
        <w:spacing w:line="240" w:lineRule="auto"/>
        <w:ind w:firstLine="420" w:firstLineChars="200"/>
        <w:rPr>
          <w:szCs w:val="24"/>
        </w:rPr>
      </w:pPr>
      <w:r>
        <w:rPr>
          <w:rFonts w:hint="eastAsia"/>
          <w:szCs w:val="24"/>
        </w:rPr>
        <w:t>本文件按照GB/T 1.1-2020 《标准化工作导则 第1部分：标准化文件的结构和起草规则》的规定起草。</w:t>
      </w:r>
    </w:p>
    <w:p w14:paraId="6FB59B34">
      <w:pPr>
        <w:suppressAutoHyphens/>
        <w:adjustRightInd/>
        <w:spacing w:line="240" w:lineRule="auto"/>
        <w:ind w:firstLine="420" w:firstLineChars="200"/>
        <w:rPr>
          <w:szCs w:val="24"/>
        </w:rPr>
      </w:pPr>
      <w:r>
        <w:rPr>
          <w:rFonts w:hint="eastAsia"/>
          <w:szCs w:val="24"/>
        </w:rPr>
        <w:t>本文件代替DB14/T 1126—2015《扁桃生产技术规程》，与DB14/T 1126—2015相比，除结构调整和编辑性改动外，主要技术变化如下</w:t>
      </w:r>
      <w:r>
        <w:rPr>
          <w:rFonts w:hint="eastAsia"/>
        </w:rPr>
        <w:t>:</w:t>
      </w:r>
    </w:p>
    <w:p w14:paraId="6E94D338">
      <w:pPr>
        <w:pStyle w:val="57"/>
        <w:ind w:firstLine="420"/>
        <w:rPr>
          <w:rFonts w:ascii="Times New Roman"/>
        </w:rPr>
      </w:pPr>
      <w:r>
        <w:rPr>
          <w:rFonts w:hint="eastAsia" w:ascii="Times New Roman"/>
        </w:rPr>
        <w:t>——更改了“规范性引用文件”的内容（见2，2015版2）</w:t>
      </w:r>
    </w:p>
    <w:p w14:paraId="1556BFD4">
      <w:pPr>
        <w:pStyle w:val="57"/>
        <w:ind w:firstLine="420"/>
        <w:rPr>
          <w:rFonts w:ascii="Times New Roman"/>
        </w:rPr>
      </w:pPr>
      <w:r>
        <w:rPr>
          <w:rFonts w:hint="eastAsia" w:ascii="Times New Roman"/>
        </w:rPr>
        <w:t>——更改了“产地条件”的内容（见3，2015版4）</w:t>
      </w:r>
    </w:p>
    <w:p w14:paraId="3CAD2ED3">
      <w:pPr>
        <w:pStyle w:val="57"/>
        <w:ind w:firstLine="420"/>
        <w:rPr>
          <w:rFonts w:ascii="Times New Roman"/>
        </w:rPr>
      </w:pPr>
      <w:r>
        <w:rPr>
          <w:rFonts w:hint="eastAsia" w:ascii="Times New Roman"/>
        </w:rPr>
        <w:t>——删除了“术语和定义”的内容（见2015版3）</w:t>
      </w:r>
    </w:p>
    <w:p w14:paraId="53BA351B">
      <w:pPr>
        <w:pStyle w:val="57"/>
        <w:ind w:firstLine="420"/>
        <w:rPr>
          <w:rFonts w:ascii="Times New Roman"/>
        </w:rPr>
      </w:pPr>
      <w:r>
        <w:rPr>
          <w:rFonts w:hint="eastAsia" w:ascii="Times New Roman"/>
        </w:rPr>
        <w:t>——更改了“建园”的表述内容（见4，2015版5）</w:t>
      </w:r>
    </w:p>
    <w:p w14:paraId="79CACCC5">
      <w:pPr>
        <w:pStyle w:val="57"/>
        <w:ind w:firstLine="420"/>
        <w:rPr>
          <w:rFonts w:ascii="Times New Roman"/>
        </w:rPr>
      </w:pPr>
      <w:r>
        <w:rPr>
          <w:rFonts w:hint="eastAsia" w:ascii="Times New Roman"/>
        </w:rPr>
        <w:t>——更改了“整形修剪”的表述内容（见5，2015版7）</w:t>
      </w:r>
    </w:p>
    <w:p w14:paraId="39D5CA2D">
      <w:pPr>
        <w:pStyle w:val="57"/>
        <w:ind w:firstLine="420"/>
        <w:rPr>
          <w:rFonts w:ascii="Times New Roman"/>
        </w:rPr>
      </w:pPr>
      <w:bookmarkStart w:id="13" w:name="_Hlk164945782"/>
      <w:r>
        <w:rPr>
          <w:rFonts w:hint="eastAsia" w:ascii="Times New Roman"/>
        </w:rPr>
        <w:t>——更改了“花果管理”中“花期授粉”</w:t>
      </w:r>
      <w:bookmarkEnd w:id="13"/>
      <w:r>
        <w:rPr>
          <w:rFonts w:hint="eastAsia" w:ascii="Times New Roman"/>
        </w:rPr>
        <w:t>的表述内容。（见6.1，2015版8.1）</w:t>
      </w:r>
    </w:p>
    <w:p w14:paraId="27C4A297">
      <w:pPr>
        <w:pStyle w:val="57"/>
        <w:ind w:firstLine="420"/>
        <w:rPr>
          <w:rFonts w:ascii="Times New Roman"/>
        </w:rPr>
      </w:pPr>
      <w:r>
        <w:rPr>
          <w:rFonts w:hint="eastAsia" w:ascii="Times New Roman"/>
        </w:rPr>
        <w:t>——更改了“土肥水管理”的表述内容（见7，2015版6）</w:t>
      </w:r>
    </w:p>
    <w:p w14:paraId="46F34CDB">
      <w:pPr>
        <w:pStyle w:val="57"/>
        <w:ind w:firstLine="420"/>
        <w:rPr>
          <w:rFonts w:ascii="Times New Roman"/>
        </w:rPr>
      </w:pPr>
      <w:r>
        <w:rPr>
          <w:rFonts w:hint="eastAsia" w:ascii="Times New Roman"/>
        </w:rPr>
        <w:t>——增加了“病虫害防治”中“生物防治”的内容（见8.3）</w:t>
      </w:r>
    </w:p>
    <w:p w14:paraId="47B043A2">
      <w:pPr>
        <w:pStyle w:val="57"/>
        <w:ind w:firstLine="420"/>
        <w:rPr>
          <w:rFonts w:ascii="Times New Roman"/>
        </w:rPr>
      </w:pPr>
      <w:r>
        <w:rPr>
          <w:rFonts w:hint="eastAsia" w:ascii="Times New Roman"/>
        </w:rPr>
        <w:t>——增加了“绿果采收及采后处理”的内容（见9.1）</w:t>
      </w:r>
    </w:p>
    <w:p w14:paraId="7E40C60D">
      <w:pPr>
        <w:pStyle w:val="57"/>
        <w:ind w:firstLine="420"/>
        <w:rPr>
          <w:rFonts w:ascii="Times New Roman"/>
        </w:rPr>
      </w:pPr>
      <w:r>
        <w:rPr>
          <w:rFonts w:hint="eastAsia" w:ascii="Times New Roman"/>
        </w:rPr>
        <w:t>——删除了“果实采收”中“分级包装”的内容（见2015版10.2.3）</w:t>
      </w:r>
    </w:p>
    <w:p w14:paraId="26F79B68">
      <w:pPr>
        <w:pStyle w:val="57"/>
        <w:ind w:firstLine="420"/>
        <w:rPr>
          <w:rFonts w:ascii="Times New Roman"/>
        </w:rPr>
      </w:pPr>
      <w:r>
        <w:rPr>
          <w:rFonts w:hint="eastAsia" w:ascii="Times New Roman"/>
        </w:rPr>
        <w:t>——增加了“生产档案”的内容（见10和附录B）</w:t>
      </w:r>
    </w:p>
    <w:p w14:paraId="2AA0258A">
      <w:pPr>
        <w:pStyle w:val="57"/>
        <w:ind w:firstLine="420"/>
        <w:rPr>
          <w:rFonts w:ascii="Times New Roman"/>
        </w:rPr>
      </w:pPr>
      <w:r>
        <w:rPr>
          <w:rFonts w:hint="eastAsia" w:ascii="Times New Roman"/>
        </w:rPr>
        <w:t>本文件由山西省农业农村厅提出、组织实施和监督检查。</w:t>
      </w:r>
    </w:p>
    <w:p w14:paraId="250B9E3D">
      <w:pPr>
        <w:pStyle w:val="57"/>
        <w:ind w:firstLine="420"/>
        <w:rPr>
          <w:rFonts w:ascii="Times New Roman"/>
        </w:rPr>
      </w:pPr>
      <w:r>
        <w:rPr>
          <w:rFonts w:hint="eastAsia" w:ascii="Times New Roman"/>
        </w:rPr>
        <w:t>本文件由山西省市场监督管理局对标准的组织实施情况进行监督检查。</w:t>
      </w:r>
    </w:p>
    <w:p w14:paraId="1B907E81">
      <w:pPr>
        <w:pStyle w:val="57"/>
        <w:ind w:firstLine="420"/>
        <w:rPr>
          <w:rFonts w:ascii="Times New Roman"/>
        </w:rPr>
      </w:pPr>
      <w:r>
        <w:rPr>
          <w:rFonts w:hint="eastAsia" w:ascii="Times New Roman"/>
        </w:rPr>
        <w:t>本文件由山西省农业标准化技术委员会</w:t>
      </w:r>
      <w:r>
        <w:rPr>
          <w:rFonts w:hint="eastAsia" w:ascii="Calibri" w:hAnsi="Calibri"/>
          <w:kern w:val="2"/>
          <w:szCs w:val="24"/>
        </w:rPr>
        <w:t>（SXS/TC19）</w:t>
      </w:r>
      <w:r>
        <w:rPr>
          <w:rFonts w:hint="eastAsia" w:ascii="Times New Roman"/>
        </w:rPr>
        <w:t>归口。</w:t>
      </w:r>
    </w:p>
    <w:p w14:paraId="5627EAD6">
      <w:pPr>
        <w:pStyle w:val="57"/>
        <w:ind w:firstLine="420"/>
        <w:rPr>
          <w:rFonts w:ascii="Times New Roman"/>
        </w:rPr>
      </w:pPr>
      <w:r>
        <w:rPr>
          <w:rFonts w:hint="eastAsia" w:ascii="Times New Roman"/>
        </w:rPr>
        <w:t>本文件起草单位：山西农业大学。</w:t>
      </w:r>
    </w:p>
    <w:p w14:paraId="4850BCE5">
      <w:pPr>
        <w:pStyle w:val="57"/>
        <w:ind w:firstLine="420"/>
        <w:rPr>
          <w:rFonts w:ascii="Times New Roman"/>
        </w:rPr>
      </w:pPr>
      <w:r>
        <w:rPr>
          <w:rFonts w:hint="eastAsia" w:ascii="Times New Roman"/>
        </w:rPr>
        <w:t>本文件主要起草人：何勇、梁艳霞、曲雪松、刘丽、王芸芸。</w:t>
      </w:r>
    </w:p>
    <w:p w14:paraId="0AA48F81">
      <w:pPr>
        <w:pStyle w:val="57"/>
        <w:ind w:firstLine="420"/>
        <w:rPr>
          <w:rFonts w:ascii="Times New Roman"/>
        </w:rPr>
      </w:pPr>
      <w:r>
        <w:rPr>
          <w:rFonts w:hint="eastAsia" w:ascii="Times New Roman"/>
        </w:rPr>
        <w:t>本文件及其所代替文件的历次版本发布情况为：</w:t>
      </w:r>
    </w:p>
    <w:p w14:paraId="65136616">
      <w:pPr>
        <w:pStyle w:val="57"/>
        <w:ind w:firstLine="420"/>
        <w:rPr>
          <w:rFonts w:ascii="Times New Roman"/>
        </w:rPr>
      </w:pPr>
      <w:r>
        <w:rPr>
          <w:rFonts w:hint="eastAsia" w:ascii="Times New Roman"/>
        </w:rPr>
        <w:t>——2016年首次发布为DB14/T 1126—2015；</w:t>
      </w:r>
    </w:p>
    <w:p w14:paraId="0680F7EB">
      <w:pPr>
        <w:pStyle w:val="57"/>
        <w:ind w:firstLine="420"/>
        <w:rPr>
          <w:rFonts w:ascii="Times New Roman"/>
        </w:rPr>
      </w:pPr>
      <w:r>
        <w:rPr>
          <w:rFonts w:hint="eastAsia" w:ascii="Times New Roman"/>
        </w:rPr>
        <w:t>——本次为第一次修订。</w:t>
      </w:r>
    </w:p>
    <w:p w14:paraId="18BFF6DB">
      <w:pPr>
        <w:pStyle w:val="92"/>
        <w:spacing w:after="468"/>
        <w:rPr>
          <w:rFonts w:hint="eastAsia" w:ascii="Times New Roman" w:hAnsi="Times New Roman"/>
          <w:spacing w:val="320"/>
        </w:rPr>
      </w:pPr>
    </w:p>
    <w:p w14:paraId="00655E40">
      <w:pPr>
        <w:pStyle w:val="92"/>
        <w:spacing w:after="468"/>
        <w:rPr>
          <w:rFonts w:hint="eastAsia" w:ascii="Times New Roman" w:hAnsi="Times New Roman"/>
          <w:spacing w:val="320"/>
        </w:rPr>
      </w:pPr>
    </w:p>
    <w:p w14:paraId="010D931D">
      <w:pPr>
        <w:pStyle w:val="92"/>
        <w:spacing w:after="468"/>
        <w:rPr>
          <w:rFonts w:hint="eastAsia" w:ascii="Times New Roman" w:hAnsi="Times New Roman"/>
          <w:spacing w:val="320"/>
        </w:rPr>
      </w:pPr>
    </w:p>
    <w:p w14:paraId="4CABA6CA">
      <w:pPr>
        <w:pStyle w:val="92"/>
        <w:spacing w:after="468"/>
        <w:rPr>
          <w:rFonts w:hint="eastAsia" w:ascii="Times New Roman" w:hAnsi="Times New Roman"/>
          <w:spacing w:val="320"/>
        </w:rPr>
      </w:pPr>
    </w:p>
    <w:p w14:paraId="0D24FE40">
      <w:pPr>
        <w:pStyle w:val="92"/>
        <w:spacing w:after="468"/>
        <w:jc w:val="center"/>
        <w:rPr>
          <w:rFonts w:hint="eastAsia" w:ascii="Times New Roman" w:hAnsi="Times New Roman"/>
        </w:rPr>
      </w:pPr>
      <w:r>
        <w:rPr>
          <w:rFonts w:hint="eastAsia" w:ascii="Times New Roman" w:hAnsi="Times New Roman"/>
          <w:spacing w:val="320"/>
        </w:rPr>
        <w:t>目</w:t>
      </w:r>
      <w:r>
        <w:rPr>
          <w:rFonts w:hint="eastAsia" w:ascii="Times New Roman" w:hAnsi="Times New Roman"/>
        </w:rPr>
        <w:t>次</w:t>
      </w:r>
    </w:p>
    <w:sdt>
      <w:sdtPr>
        <w:rPr>
          <w:rFonts w:ascii="宋体" w:hAnsi="宋体" w:eastAsia="宋体" w:cs="Times New Roman"/>
          <w:kern w:val="2"/>
          <w:sz w:val="21"/>
          <w:szCs w:val="21"/>
          <w:lang w:val="en-US" w:eastAsia="zh-CN" w:bidi="ar-SA"/>
        </w:rPr>
        <w:id w:val="147464413"/>
        <w15:color w:val="DBDBDB"/>
        <w:docPartObj>
          <w:docPartGallery w:val="Table of Contents"/>
          <w:docPartUnique/>
        </w:docPartObj>
      </w:sdtPr>
      <w:sdtEndPr>
        <w:rPr>
          <w:rFonts w:hint="eastAsia" w:ascii="Times New Roman" w:hAnsi="Times New Roman" w:eastAsia="黑体" w:cs="Times New Roman"/>
          <w:kern w:val="2"/>
          <w:sz w:val="32"/>
          <w:szCs w:val="21"/>
          <w:lang w:val="en-US" w:eastAsia="zh-CN" w:bidi="ar-SA"/>
        </w:rPr>
      </w:sdtEndPr>
      <w:sdtContent>
        <w:p w14:paraId="75DAA68F">
          <w:pPr>
            <w:spacing w:before="0" w:beforeLines="0" w:after="0" w:afterLines="0" w:line="240" w:lineRule="auto"/>
            <w:ind w:left="0" w:leftChars="0" w:right="0" w:rightChars="0" w:firstLine="0" w:firstLineChars="0"/>
            <w:jc w:val="center"/>
          </w:pPr>
          <w:r>
            <w:rPr>
              <w:rFonts w:ascii="宋体" w:hAnsi="宋体" w:eastAsia="宋体"/>
              <w:sz w:val="21"/>
            </w:rPr>
            <w:t>目录</w:t>
          </w:r>
        </w:p>
        <w:p w14:paraId="383A96A0">
          <w:pPr>
            <w:pStyle w:val="20"/>
            <w:tabs>
              <w:tab w:val="right" w:leader="dot" w:pos="9354"/>
            </w:tabs>
            <w:rPr>
              <w:rFonts w:hint="eastAsia" w:ascii="宋体" w:hAnsi="宋体" w:eastAsia="宋体" w:cs="宋体"/>
            </w:rPr>
          </w:pPr>
          <w:r>
            <w:rPr>
              <w:rFonts w:hint="eastAsia" w:ascii="Times New Roman" w:hAnsi="Times New Roman"/>
            </w:rPr>
            <w:fldChar w:fldCharType="begin"/>
          </w:r>
          <w:r>
            <w:rPr>
              <w:rFonts w:hint="eastAsia" w:ascii="Times New Roman" w:hAnsi="Times New Roman"/>
            </w:rPr>
            <w:instrText xml:space="preserve">TOC \o "1-1" \h \u </w:instrText>
          </w:r>
          <w:r>
            <w:rPr>
              <w:rFonts w:hint="eastAsia" w:ascii="Times New Roman" w:hAnsi="Times New Roman"/>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_Toc4946 </w:instrText>
          </w:r>
          <w:r>
            <w:rPr>
              <w:rFonts w:hint="eastAsia" w:ascii="宋体" w:hAnsi="宋体" w:eastAsia="宋体" w:cs="宋体"/>
            </w:rPr>
            <w:fldChar w:fldCharType="separate"/>
          </w:r>
          <w:r>
            <w:rPr>
              <w:rFonts w:hint="eastAsia" w:hAnsi="宋体" w:cs="宋体"/>
              <w:lang w:val="en-US" w:eastAsia="zh-CN"/>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_Toc4946 \h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r>
            <w:rPr>
              <w:rFonts w:hint="eastAsia" w:ascii="宋体" w:hAnsi="宋体" w:eastAsia="宋体" w:cs="宋体"/>
            </w:rPr>
            <w:fldChar w:fldCharType="end"/>
          </w:r>
        </w:p>
        <w:p w14:paraId="1453F852">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_Toc3723 </w:instrText>
          </w:r>
          <w:r>
            <w:rPr>
              <w:rFonts w:hint="eastAsia" w:ascii="宋体" w:hAnsi="宋体" w:eastAsia="宋体" w:cs="宋体"/>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_Toc3723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6603402E">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_Toc29311 </w:instrText>
          </w:r>
          <w:r>
            <w:rPr>
              <w:rFonts w:hint="eastAsia" w:ascii="宋体" w:hAnsi="宋体" w:eastAsia="宋体" w:cs="宋体"/>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_Toc29311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56A36B94">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_Toc19832 </w:instrText>
          </w:r>
          <w:r>
            <w:rPr>
              <w:rFonts w:hint="eastAsia" w:ascii="宋体" w:hAnsi="宋体" w:eastAsia="宋体" w:cs="宋体"/>
            </w:rPr>
            <w:fldChar w:fldCharType="separate"/>
          </w:r>
          <w:r>
            <w:rPr>
              <w:rFonts w:hint="eastAsia" w:ascii="宋体" w:hAnsi="宋体" w:eastAsia="宋体" w:cs="宋体"/>
              <w:kern w:val="0"/>
              <w:szCs w:val="20"/>
              <w:lang w:val="en-US" w:eastAsia="zh-CN" w:bidi="ar-SA"/>
            </w:rPr>
            <w:t>3</w:t>
          </w:r>
          <w:r>
            <w:rPr>
              <w:rFonts w:hint="eastAsia" w:ascii="宋体" w:hAnsi="宋体" w:eastAsia="宋体" w:cs="宋体"/>
              <w:szCs w:val="24"/>
              <w:lang w:val="en-US" w:eastAsia="zh-CN"/>
            </w:rPr>
            <w:t xml:space="preserve"> </w:t>
          </w:r>
          <w:r>
            <w:rPr>
              <w:rFonts w:hint="eastAsia" w:ascii="宋体" w:hAnsi="宋体" w:eastAsia="宋体" w:cs="宋体"/>
              <w:kern w:val="0"/>
              <w:szCs w:val="20"/>
              <w:lang w:val="en-US" w:eastAsia="zh-CN" w:bidi="ar-SA"/>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_Toc19832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1B476DC7">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_Toc20734 </w:instrText>
          </w:r>
          <w:r>
            <w:rPr>
              <w:rFonts w:hint="eastAsia" w:ascii="宋体" w:hAnsi="宋体" w:eastAsia="宋体" w:cs="宋体"/>
            </w:rPr>
            <w:fldChar w:fldCharType="separate"/>
          </w:r>
          <w:r>
            <w:rPr>
              <w:rFonts w:hint="eastAsia" w:ascii="宋体" w:hAnsi="宋体" w:eastAsia="宋体" w:cs="宋体"/>
              <w:lang w:val="en-US" w:eastAsia="zh-CN"/>
            </w:rPr>
            <w:t xml:space="preserve">4 </w:t>
          </w:r>
          <w:r>
            <w:rPr>
              <w:rFonts w:hint="eastAsia" w:ascii="宋体" w:hAnsi="宋体" w:eastAsia="宋体" w:cs="宋体"/>
            </w:rPr>
            <w:t>产地条件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_Toc20734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D5D5C1B">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_Toc20044 </w:instrText>
          </w:r>
          <w:r>
            <w:rPr>
              <w:rFonts w:hint="eastAsia" w:ascii="宋体" w:hAnsi="宋体" w:eastAsia="宋体" w:cs="宋体"/>
            </w:rPr>
            <w:fldChar w:fldCharType="separate"/>
          </w:r>
          <w:r>
            <w:rPr>
              <w:rFonts w:hint="eastAsia" w:ascii="宋体" w:hAnsi="宋体" w:eastAsia="宋体" w:cs="宋体"/>
              <w:lang w:val="en-US" w:eastAsia="zh-CN"/>
            </w:rPr>
            <w:t xml:space="preserve">5 </w:t>
          </w:r>
          <w:r>
            <w:rPr>
              <w:rFonts w:hint="eastAsia" w:ascii="宋体" w:hAnsi="宋体" w:eastAsia="宋体" w:cs="宋体"/>
            </w:rPr>
            <w:t>建园</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_Toc20044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3E4B892">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_Toc12078 </w:instrText>
          </w:r>
          <w:r>
            <w:rPr>
              <w:rFonts w:hint="eastAsia" w:ascii="宋体" w:hAnsi="宋体" w:eastAsia="宋体" w:cs="宋体"/>
            </w:rPr>
            <w:fldChar w:fldCharType="separate"/>
          </w:r>
          <w:r>
            <w:rPr>
              <w:rFonts w:hint="eastAsia" w:ascii="宋体" w:hAnsi="宋体" w:eastAsia="宋体" w:cs="宋体"/>
              <w:lang w:val="en-US" w:eastAsia="zh-CN"/>
            </w:rPr>
            <w:t xml:space="preserve">6 </w:t>
          </w:r>
          <w:r>
            <w:rPr>
              <w:rFonts w:hint="eastAsia" w:ascii="宋体" w:hAnsi="宋体" w:eastAsia="宋体" w:cs="宋体"/>
            </w:rPr>
            <w:t>整形修剪</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_Toc12078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6CB4B3E4">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_Toc28885 </w:instrText>
          </w:r>
          <w:r>
            <w:rPr>
              <w:rFonts w:hint="eastAsia" w:ascii="宋体" w:hAnsi="宋体" w:eastAsia="宋体" w:cs="宋体"/>
            </w:rPr>
            <w:fldChar w:fldCharType="separate"/>
          </w:r>
          <w:r>
            <w:rPr>
              <w:rFonts w:hint="eastAsia" w:ascii="宋体" w:hAnsi="宋体" w:eastAsia="宋体" w:cs="宋体"/>
              <w:lang w:val="en-US" w:eastAsia="zh-CN"/>
            </w:rPr>
            <w:t xml:space="preserve">7 </w:t>
          </w:r>
          <w:r>
            <w:rPr>
              <w:rFonts w:hint="eastAsia" w:ascii="宋体" w:hAnsi="宋体" w:eastAsia="宋体" w:cs="宋体"/>
            </w:rPr>
            <w:t>花果管理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_Toc28885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1BBE7716">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_Toc29420 </w:instrText>
          </w:r>
          <w:r>
            <w:rPr>
              <w:rFonts w:hint="eastAsia" w:ascii="宋体" w:hAnsi="宋体" w:eastAsia="宋体" w:cs="宋体"/>
            </w:rPr>
            <w:fldChar w:fldCharType="separate"/>
          </w:r>
          <w:r>
            <w:rPr>
              <w:rFonts w:hint="eastAsia" w:ascii="宋体" w:hAnsi="宋体" w:eastAsia="宋体" w:cs="宋体"/>
              <w:lang w:val="en-US" w:eastAsia="zh-CN"/>
            </w:rPr>
            <w:t xml:space="preserve">8 </w:t>
          </w:r>
          <w:r>
            <w:rPr>
              <w:rFonts w:hint="eastAsia" w:ascii="宋体" w:hAnsi="宋体" w:eastAsia="宋体" w:cs="宋体"/>
            </w:rPr>
            <w:t>土肥水管理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_Toc29420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650A6D97">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_Toc31669 </w:instrText>
          </w:r>
          <w:r>
            <w:rPr>
              <w:rFonts w:hint="eastAsia" w:ascii="宋体" w:hAnsi="宋体" w:eastAsia="宋体" w:cs="宋体"/>
            </w:rPr>
            <w:fldChar w:fldCharType="separate"/>
          </w:r>
          <w:r>
            <w:rPr>
              <w:rFonts w:hint="eastAsia" w:ascii="宋体" w:hAnsi="宋体" w:eastAsia="宋体" w:cs="宋体"/>
              <w:lang w:val="en-US" w:eastAsia="zh-CN"/>
            </w:rPr>
            <w:t xml:space="preserve">9 </w:t>
          </w:r>
          <w:r>
            <w:rPr>
              <w:rFonts w:hint="eastAsia" w:ascii="宋体" w:hAnsi="宋体" w:eastAsia="宋体" w:cs="宋体"/>
            </w:rPr>
            <w:t>病虫害防治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_Toc31669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40F38ADF">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_Toc18334 </w:instrText>
          </w:r>
          <w:r>
            <w:rPr>
              <w:rFonts w:hint="eastAsia" w:ascii="宋体" w:hAnsi="宋体" w:eastAsia="宋体" w:cs="宋体"/>
            </w:rPr>
            <w:fldChar w:fldCharType="separate"/>
          </w:r>
          <w:r>
            <w:rPr>
              <w:rFonts w:hint="eastAsia" w:ascii="宋体" w:hAnsi="宋体" w:eastAsia="宋体" w:cs="宋体"/>
              <w:lang w:val="en-US" w:eastAsia="zh-CN"/>
            </w:rPr>
            <w:t xml:space="preserve">10 </w:t>
          </w:r>
          <w:r>
            <w:rPr>
              <w:rFonts w:hint="eastAsia" w:ascii="宋体" w:hAnsi="宋体" w:eastAsia="宋体" w:cs="宋体"/>
            </w:rPr>
            <w:t>果实采收及采后处理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_Toc18334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3E743192">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_Toc14019 </w:instrText>
          </w:r>
          <w:r>
            <w:rPr>
              <w:rFonts w:hint="eastAsia" w:ascii="宋体" w:hAnsi="宋体" w:eastAsia="宋体" w:cs="宋体"/>
            </w:rPr>
            <w:fldChar w:fldCharType="separate"/>
          </w:r>
          <w:r>
            <w:rPr>
              <w:rFonts w:hint="eastAsia" w:ascii="宋体" w:hAnsi="宋体" w:eastAsia="宋体" w:cs="宋体"/>
              <w:lang w:val="en-US" w:eastAsia="zh-CN"/>
            </w:rPr>
            <w:t xml:space="preserve">11 </w:t>
          </w:r>
          <w:r>
            <w:rPr>
              <w:rFonts w:hint="eastAsia" w:ascii="宋体" w:hAnsi="宋体" w:eastAsia="宋体" w:cs="宋体"/>
            </w:rPr>
            <w:t>生产档案</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_Toc14019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10BD8CEB">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_Toc8104 </w:instrText>
          </w:r>
          <w:r>
            <w:rPr>
              <w:rFonts w:hint="eastAsia" w:ascii="宋体" w:hAnsi="宋体" w:eastAsia="宋体" w:cs="宋体"/>
            </w:rPr>
            <w:fldChar w:fldCharType="separate"/>
          </w:r>
          <w:r>
            <w:rPr>
              <w:rFonts w:hint="eastAsia" w:hAnsi="宋体" w:cs="宋体"/>
              <w:lang w:val="en-US" w:eastAsia="zh-CN"/>
            </w:rPr>
            <w:t>附录A</w:t>
          </w:r>
          <w:r>
            <w:rPr>
              <w:rFonts w:hint="eastAsia" w:ascii="宋体" w:hAnsi="宋体" w:eastAsia="宋体" w:cs="宋体"/>
            </w:rPr>
            <w:t>（资料性</w:t>
          </w:r>
          <w:r>
            <w:rPr>
              <w:rFonts w:hint="eastAsia" w:hAnsi="宋体" w:cs="宋体"/>
              <w:lang w:eastAsia="zh-CN"/>
            </w:rPr>
            <w:t>）</w:t>
          </w:r>
          <w:r>
            <w:rPr>
              <w:rFonts w:hint="eastAsia" w:ascii="宋体" w:hAnsi="宋体" w:eastAsia="宋体" w:cs="宋体"/>
            </w:rPr>
            <w:t>扁桃优良品种简介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_Toc8104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3E3A55C2">
          <w:pPr>
            <w:pStyle w:val="20"/>
            <w:tabs>
              <w:tab w:val="right" w:leader="dot" w:pos="9354"/>
            </w:tabs>
          </w:pPr>
          <w:r>
            <w:rPr>
              <w:rFonts w:hint="eastAsia" w:ascii="宋体" w:hAnsi="宋体" w:eastAsia="宋体" w:cs="宋体"/>
            </w:rPr>
            <w:fldChar w:fldCharType="begin"/>
          </w:r>
          <w:r>
            <w:rPr>
              <w:rFonts w:hint="eastAsia" w:ascii="宋体" w:hAnsi="宋体" w:eastAsia="宋体" w:cs="宋体"/>
            </w:rPr>
            <w:instrText xml:space="preserve"> HYPERLINK \l _Toc29998 </w:instrText>
          </w:r>
          <w:r>
            <w:rPr>
              <w:rFonts w:hint="eastAsia" w:ascii="宋体" w:hAnsi="宋体" w:eastAsia="宋体" w:cs="宋体"/>
            </w:rPr>
            <w:fldChar w:fldCharType="separate"/>
          </w:r>
          <w:r>
            <w:rPr>
              <w:rFonts w:hint="eastAsia" w:hAnsi="宋体" w:cs="宋体"/>
              <w:lang w:val="en-US" w:eastAsia="zh-CN"/>
            </w:rPr>
            <w:t>附录B（</w:t>
          </w:r>
          <w:r>
            <w:rPr>
              <w:rFonts w:hint="eastAsia" w:ascii="宋体" w:hAnsi="宋体" w:eastAsia="宋体" w:cs="宋体"/>
            </w:rPr>
            <w:t>资料性</w:t>
          </w:r>
          <w:r>
            <w:rPr>
              <w:rFonts w:hint="eastAsia" w:hAnsi="宋体" w:cs="宋体"/>
              <w:lang w:eastAsia="zh-CN"/>
            </w:rPr>
            <w:t>）</w:t>
          </w:r>
          <w:r>
            <w:rPr>
              <w:rFonts w:hint="eastAsia" w:ascii="宋体" w:hAnsi="宋体" w:eastAsia="宋体" w:cs="宋体"/>
            </w:rPr>
            <w:t>扁桃果园生产档案</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_Toc29998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37CC9F10">
          <w:pPr>
            <w:pStyle w:val="92"/>
            <w:spacing w:after="468"/>
            <w:jc w:val="center"/>
            <w:rPr>
              <w:rFonts w:hint="eastAsia" w:ascii="Times New Roman" w:hAnsi="Times New Roman"/>
            </w:rPr>
          </w:pPr>
          <w:r>
            <w:rPr>
              <w:rFonts w:hint="eastAsia" w:ascii="Times New Roman" w:hAnsi="Times New Roman"/>
            </w:rPr>
            <w:fldChar w:fldCharType="end"/>
          </w:r>
        </w:p>
      </w:sdtContent>
    </w:sdt>
    <w:p w14:paraId="3FCA13FF">
      <w:pPr>
        <w:pStyle w:val="20"/>
        <w:tabs>
          <w:tab w:val="right" w:leader="dot" w:pos="9354"/>
        </w:tabs>
      </w:pPr>
      <w:r>
        <w:rPr>
          <w:rFonts w:ascii="Times New Roman" w:hAnsi="Times New Roman"/>
        </w:rPr>
        <w:fldChar w:fldCharType="begin"/>
      </w:r>
      <w:r>
        <w:rPr>
          <w:rFonts w:ascii="Times New Roman" w:hAnsi="Times New Roman"/>
        </w:rPr>
        <w:instrText xml:space="preserve"> </w:instrText>
      </w:r>
      <w:r>
        <w:rPr>
          <w:rFonts w:hint="eastAsia" w:ascii="Times New Roman" w:hAnsi="Times New Roman"/>
        </w:rPr>
        <w:instrText xml:space="preserve">TOC \o "1-1" \h</w:instrText>
      </w:r>
      <w:r>
        <w:rPr>
          <w:rFonts w:ascii="Times New Roman" w:hAnsi="Times New Roman"/>
        </w:rPr>
        <w:instrText xml:space="preserve"> </w:instrText>
      </w:r>
      <w:r>
        <w:rPr>
          <w:rFonts w:ascii="Times New Roman" w:hAnsi="Times New Roman"/>
        </w:rPr>
        <w:fldChar w:fldCharType="separate"/>
      </w:r>
    </w:p>
    <w:p w14:paraId="1FBBE645">
      <w:pPr>
        <w:pStyle w:val="20"/>
        <w:tabs>
          <w:tab w:val="right" w:leader="dot" w:pos="9354"/>
        </w:tabs>
      </w:pPr>
    </w:p>
    <w:p w14:paraId="0E1E4394">
      <w:pPr>
        <w:pStyle w:val="92"/>
        <w:spacing w:after="468"/>
        <w:rPr>
          <w:rFonts w:ascii="Times New Roman" w:hAnsi="Times New Roman"/>
        </w:rPr>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12"/>
    <w:p w14:paraId="02CC6DD2">
      <w:pPr>
        <w:spacing w:line="20" w:lineRule="exact"/>
        <w:jc w:val="center"/>
        <w:rPr>
          <w:rFonts w:ascii="Times New Roman" w:hAnsi="Times New Roman" w:eastAsia="黑体"/>
          <w:sz w:val="32"/>
          <w:szCs w:val="32"/>
        </w:rPr>
      </w:pPr>
      <w:bookmarkStart w:id="14" w:name="BookMark4"/>
    </w:p>
    <w:p w14:paraId="779DB28E">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7DDB42139B51410F9862AFCE5A25033D"/>
        </w:placeholder>
      </w:sdtPr>
      <w:sdtEndPr>
        <w:rPr>
          <w:rFonts w:ascii="Times New Roman" w:hAnsi="Times New Roman"/>
        </w:rPr>
      </w:sdtEndPr>
      <w:sdtContent>
        <w:p w14:paraId="77D7E44D">
          <w:pPr>
            <w:pStyle w:val="178"/>
            <w:spacing w:before="312" w:beforeLines="100" w:after="686" w:afterLines="220"/>
            <w:rPr>
              <w:rFonts w:ascii="Times New Roman" w:hAnsi="Times New Roman"/>
            </w:rPr>
          </w:pPr>
          <w:bookmarkStart w:id="15" w:name="NEW_STAND_NAME"/>
          <w:r>
            <w:rPr>
              <w:rFonts w:hint="eastAsia" w:ascii="Times New Roman" w:hAnsi="Times New Roman"/>
            </w:rPr>
            <w:t>扁桃生产技术规程</w:t>
          </w:r>
        </w:p>
      </w:sdtContent>
    </w:sdt>
    <w:bookmarkEnd w:id="14"/>
    <w:bookmarkEnd w:id="15"/>
    <w:p w14:paraId="305E5256">
      <w:pPr>
        <w:pStyle w:val="105"/>
        <w:spacing w:before="312" w:after="312"/>
      </w:pPr>
      <w:bookmarkStart w:id="16" w:name="_Toc435193980"/>
      <w:bookmarkStart w:id="17" w:name="_Toc438562803"/>
      <w:bookmarkStart w:id="18" w:name="_Toc30219"/>
      <w:bookmarkStart w:id="19" w:name="_Toc430956930"/>
      <w:bookmarkStart w:id="20" w:name="_Toc430957923"/>
      <w:bookmarkStart w:id="21" w:name="_Toc438476905"/>
      <w:bookmarkStart w:id="22" w:name="_Toc438649356"/>
      <w:bookmarkStart w:id="23" w:name="_Toc3723"/>
      <w:bookmarkStart w:id="24" w:name="_Toc430956997"/>
      <w:bookmarkStart w:id="25" w:name="_Toc427877039"/>
      <w:bookmarkStart w:id="26" w:name="_Toc427874842"/>
      <w:bookmarkStart w:id="27" w:name="_Toc438552299"/>
      <w:bookmarkStart w:id="28" w:name="_Toc430957897"/>
      <w:bookmarkStart w:id="29" w:name="_Toc427879246"/>
      <w:bookmarkStart w:id="30" w:name="BookMark7"/>
      <w:r>
        <w:rPr>
          <w:rFonts w:hint="eastAsia"/>
        </w:rP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D898A88">
      <w:pPr>
        <w:widowControl/>
        <w:tabs>
          <w:tab w:val="center" w:pos="4201"/>
          <w:tab w:val="right" w:leader="dot" w:pos="9298"/>
        </w:tabs>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kern w:val="0"/>
          <w:szCs w:val="20"/>
        </w:rPr>
        <w:t>本文件规定了扁桃生产的产地条件、建园、整形修剪、花果管理、土肥水管理、病虫害防治、果实采收及采后处理、生产档案。</w:t>
      </w:r>
    </w:p>
    <w:p w14:paraId="10943C5B">
      <w:pPr>
        <w:widowControl/>
        <w:tabs>
          <w:tab w:val="center" w:pos="4201"/>
          <w:tab w:val="right" w:leader="dot" w:pos="9298"/>
        </w:tabs>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本文件适用于山西省扁桃主产区的扁桃栽培。</w:t>
      </w:r>
    </w:p>
    <w:p w14:paraId="21DC2456">
      <w:pPr>
        <w:pStyle w:val="105"/>
        <w:spacing w:before="312" w:after="312"/>
      </w:pPr>
      <w:bookmarkStart w:id="31" w:name="_Toc438552300"/>
      <w:bookmarkStart w:id="32" w:name="_Toc438562804"/>
      <w:bookmarkStart w:id="33" w:name="_Toc427874843"/>
      <w:bookmarkStart w:id="34" w:name="_Toc438476906"/>
      <w:bookmarkStart w:id="35" w:name="_Toc430957924"/>
      <w:bookmarkStart w:id="36" w:name="_Toc438649357"/>
      <w:bookmarkStart w:id="37" w:name="_Toc435193981"/>
      <w:bookmarkStart w:id="38" w:name="_Toc29311"/>
      <w:bookmarkStart w:id="39" w:name="_Toc430957898"/>
      <w:bookmarkStart w:id="40" w:name="_Toc27430"/>
      <w:bookmarkStart w:id="41" w:name="_Toc427879247"/>
      <w:bookmarkStart w:id="42" w:name="_Toc427877040"/>
      <w:bookmarkStart w:id="43" w:name="_Toc430956931"/>
      <w:bookmarkStart w:id="44" w:name="_Toc430956998"/>
      <w:r>
        <w:rPr>
          <w:rFonts w:hint="eastAsia"/>
        </w:rPr>
        <w:t>规范性引用文件</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56AB057">
      <w:pPr>
        <w:adjustRightInd/>
        <w:spacing w:line="240" w:lineRule="auto"/>
        <w:ind w:firstLine="420" w:firstLineChars="200"/>
        <w:rPr>
          <w:rFonts w:ascii="Times New Roman" w:hAnsi="Times New Roman"/>
          <w:szCs w:val="24"/>
        </w:rPr>
      </w:pPr>
      <w:r>
        <w:rPr>
          <w:rFonts w:ascii="Times New Roman" w:hAnsi="Times New Roman"/>
          <w:szCs w:val="24"/>
        </w:rPr>
        <w:t>下列文件</w:t>
      </w:r>
      <w:r>
        <w:rPr>
          <w:rFonts w:hint="eastAsia" w:ascii="Times New Roman" w:hAnsi="Times New Roman"/>
          <w:szCs w:val="24"/>
        </w:rPr>
        <w:t>中的内容通过文中的规范性引用而构成本文件必不可少的条款。其中，</w:t>
      </w:r>
      <w:r>
        <w:rPr>
          <w:rFonts w:ascii="Times New Roman" w:hAnsi="Times New Roman"/>
          <w:szCs w:val="24"/>
        </w:rPr>
        <w:t>注日期的引用文件，</w:t>
      </w:r>
      <w:r>
        <w:rPr>
          <w:rFonts w:hint="eastAsia" w:ascii="Times New Roman" w:hAnsi="Times New Roman"/>
          <w:szCs w:val="24"/>
        </w:rPr>
        <w:t>仅该日期对应的版本</w:t>
      </w:r>
      <w:r>
        <w:rPr>
          <w:rFonts w:ascii="Times New Roman" w:hAnsi="Times New Roman"/>
          <w:szCs w:val="24"/>
        </w:rPr>
        <w:t>适用于本文件</w:t>
      </w:r>
      <w:r>
        <w:rPr>
          <w:rFonts w:hint="eastAsia" w:ascii="Times New Roman" w:hAnsi="Times New Roman"/>
          <w:szCs w:val="24"/>
        </w:rPr>
        <w:t>；</w:t>
      </w:r>
      <w:r>
        <w:rPr>
          <w:rFonts w:ascii="Times New Roman" w:hAnsi="Times New Roman"/>
          <w:szCs w:val="24"/>
        </w:rPr>
        <w:t>不注日期的引用文件，其最新版本（包括所有的修改单）适用于本文件。</w:t>
      </w:r>
    </w:p>
    <w:p w14:paraId="38FBBCD1">
      <w:pPr>
        <w:adjustRightInd/>
        <w:spacing w:line="240" w:lineRule="auto"/>
        <w:ind w:firstLine="420" w:firstLineChars="200"/>
        <w:rPr>
          <w:rFonts w:ascii="Times New Roman" w:hAnsi="Times New Roman"/>
          <w:szCs w:val="24"/>
        </w:rPr>
      </w:pPr>
      <w:r>
        <w:rPr>
          <w:rFonts w:ascii="Times New Roman" w:hAnsi="Times New Roman"/>
          <w:szCs w:val="24"/>
        </w:rPr>
        <w:t>NY/T</w:t>
      </w:r>
      <w:r>
        <w:rPr>
          <w:rFonts w:hint="eastAsia" w:ascii="Times New Roman" w:hAnsi="Times New Roman"/>
          <w:szCs w:val="24"/>
        </w:rPr>
        <w:t xml:space="preserve"> </w:t>
      </w:r>
      <w:r>
        <w:rPr>
          <w:rFonts w:ascii="Times New Roman" w:hAnsi="Times New Roman"/>
          <w:szCs w:val="24"/>
        </w:rPr>
        <w:t>496  肥料合理使用准则（通用）</w:t>
      </w:r>
    </w:p>
    <w:p w14:paraId="2C877525">
      <w:pPr>
        <w:adjustRightInd/>
        <w:spacing w:line="240" w:lineRule="auto"/>
        <w:ind w:firstLine="420" w:firstLineChars="200"/>
        <w:rPr>
          <w:rFonts w:ascii="Times New Roman" w:hAnsi="Times New Roman"/>
          <w:szCs w:val="24"/>
        </w:rPr>
      </w:pPr>
      <w:r>
        <w:rPr>
          <w:rFonts w:hint="eastAsia" w:ascii="Times New Roman" w:hAnsi="Times New Roman"/>
          <w:szCs w:val="24"/>
        </w:rPr>
        <w:t>DB14</w:t>
      </w:r>
      <w:r>
        <w:rPr>
          <w:rFonts w:ascii="Times New Roman" w:hAnsi="Times New Roman"/>
          <w:szCs w:val="24"/>
        </w:rPr>
        <w:t>/T</w:t>
      </w:r>
      <w:r>
        <w:rPr>
          <w:rFonts w:hint="eastAsia" w:ascii="Times New Roman" w:hAnsi="Times New Roman"/>
          <w:szCs w:val="24"/>
        </w:rPr>
        <w:t xml:space="preserve"> 1093-2015  </w:t>
      </w:r>
      <w:r>
        <w:rPr>
          <w:rFonts w:ascii="Times New Roman" w:hAnsi="Times New Roman"/>
          <w:szCs w:val="24"/>
        </w:rPr>
        <w:t>桃树病虫害绿色防控技术规程</w:t>
      </w:r>
    </w:p>
    <w:p w14:paraId="2997FED9">
      <w:pPr>
        <w:adjustRightInd/>
        <w:spacing w:line="240" w:lineRule="auto"/>
        <w:rPr>
          <w:rFonts w:ascii="Times New Roman" w:hAnsi="Times New Roman"/>
          <w:szCs w:val="24"/>
        </w:rPr>
      </w:pPr>
    </w:p>
    <w:p w14:paraId="726133C1">
      <w:pPr>
        <w:pStyle w:val="105"/>
        <w:numPr>
          <w:ilvl w:val="1"/>
          <w:numId w:val="0"/>
        </w:numPr>
        <w:spacing w:before="312" w:after="312"/>
        <w:ind w:leftChars="0"/>
        <w:rPr>
          <w:rFonts w:hint="eastAsia" w:ascii="黑体" w:hAnsi="Times New Roman" w:eastAsia="黑体" w:cs="Times New Roman"/>
          <w:kern w:val="0"/>
          <w:sz w:val="21"/>
          <w:szCs w:val="20"/>
          <w:lang w:val="en-US" w:eastAsia="zh-CN" w:bidi="ar-SA"/>
        </w:rPr>
      </w:pPr>
      <w:bookmarkStart w:id="45" w:name="_Toc19832"/>
      <w:r>
        <w:rPr>
          <w:rFonts w:hint="eastAsia"/>
          <w:lang w:val="en-US" w:eastAsia="zh-CN"/>
        </w:rPr>
        <w:t>3  术语和定义</w:t>
      </w:r>
      <w:bookmarkEnd w:id="45"/>
      <w:r>
        <w:rPr>
          <w:rFonts w:hint="eastAsia" w:ascii="黑体" w:hAnsi="Times New Roman" w:eastAsia="黑体" w:cs="Times New Roman"/>
          <w:kern w:val="0"/>
          <w:sz w:val="21"/>
          <w:szCs w:val="20"/>
          <w:lang w:val="en-US" w:eastAsia="zh-CN" w:bidi="ar-SA"/>
        </w:rPr>
        <w:t xml:space="preserve">          </w:t>
      </w:r>
    </w:p>
    <w:p w14:paraId="362E9DC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黑体" w:hAnsi="Times New Roman" w:eastAsia="黑体" w:cs="Times New Roman"/>
          <w:kern w:val="0"/>
          <w:sz w:val="21"/>
          <w:szCs w:val="20"/>
          <w:lang w:val="en-US" w:eastAsia="zh-CN" w:bidi="ar-SA"/>
        </w:rPr>
      </w:pPr>
      <w:r>
        <w:rPr>
          <w:rFonts w:hint="eastAsia" w:ascii="Times New Roman" w:hAnsi="Times New Roman"/>
          <w:szCs w:val="24"/>
          <w:lang w:val="en-US" w:eastAsia="zh-CN"/>
        </w:rPr>
        <w:t>下列术语和定义适用于本文件</w:t>
      </w:r>
    </w:p>
    <w:p w14:paraId="63A5D066">
      <w:pPr>
        <w:pStyle w:val="105"/>
        <w:numPr>
          <w:ilvl w:val="1"/>
          <w:numId w:val="0"/>
        </w:numPr>
        <w:spacing w:before="312" w:after="312"/>
        <w:ind w:leftChars="0"/>
        <w:rPr>
          <w:rFonts w:hint="eastAsia"/>
          <w:lang w:val="en-US" w:eastAsia="zh-CN"/>
        </w:rPr>
      </w:pPr>
      <w:bookmarkStart w:id="46" w:name="_Toc430956933"/>
      <w:bookmarkStart w:id="47" w:name="_Toc435193983"/>
      <w:bookmarkStart w:id="48" w:name="_Toc438476907"/>
      <w:bookmarkStart w:id="49" w:name="_Toc30192"/>
      <w:bookmarkStart w:id="50" w:name="_Toc427879248"/>
      <w:bookmarkStart w:id="51" w:name="_Toc427877041"/>
      <w:bookmarkStart w:id="52" w:name="_Toc430957900"/>
      <w:bookmarkStart w:id="53" w:name="_Toc438562806"/>
      <w:bookmarkStart w:id="54" w:name="_Toc438552302"/>
      <w:bookmarkStart w:id="55" w:name="_Toc20734"/>
      <w:bookmarkStart w:id="56" w:name="_Toc438649359"/>
      <w:bookmarkStart w:id="57" w:name="_Toc430957925"/>
      <w:bookmarkStart w:id="58" w:name="_Toc430957000"/>
      <w:bookmarkStart w:id="59" w:name="_Toc427874844"/>
      <w:r>
        <w:rPr>
          <w:rFonts w:hint="eastAsia"/>
          <w:lang w:val="en-US" w:eastAsia="zh-CN"/>
        </w:rPr>
        <w:t>4  产地条件</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B38CF97">
      <w:pPr>
        <w:adjustRightInd/>
        <w:spacing w:line="240" w:lineRule="auto"/>
        <w:ind w:firstLine="420" w:firstLineChars="200"/>
        <w:rPr>
          <w:rFonts w:ascii="Times New Roman" w:hAnsi="Times New Roman"/>
          <w:color w:val="000000"/>
          <w:szCs w:val="24"/>
        </w:rPr>
      </w:pPr>
      <w:r>
        <w:rPr>
          <w:rFonts w:ascii="Times New Roman" w:hAnsi="Times New Roman"/>
          <w:color w:val="000000"/>
          <w:szCs w:val="24"/>
        </w:rPr>
        <w:t>年平均气温9</w:t>
      </w:r>
      <w:r>
        <w:rPr>
          <w:rFonts w:hint="eastAsia" w:ascii="Times New Roman" w:hAnsi="Times New Roman"/>
          <w:color w:val="000000"/>
          <w:szCs w:val="24"/>
        </w:rPr>
        <w:t xml:space="preserve"> </w:t>
      </w:r>
      <w:r>
        <w:rPr>
          <w:rFonts w:hint="eastAsia" w:ascii="宋体" w:hAnsi="宋体" w:cs="宋体"/>
          <w:color w:val="000000"/>
          <w:szCs w:val="24"/>
        </w:rPr>
        <w:t>℃</w:t>
      </w:r>
      <w:r>
        <w:rPr>
          <w:rFonts w:ascii="Times New Roman" w:hAnsi="Times New Roman"/>
          <w:color w:val="000000"/>
          <w:szCs w:val="24"/>
        </w:rPr>
        <w:t>～</w:t>
      </w:r>
      <w:r>
        <w:rPr>
          <w:rFonts w:hint="eastAsia" w:ascii="Times New Roman" w:hAnsi="Times New Roman"/>
          <w:color w:val="000000"/>
          <w:szCs w:val="24"/>
        </w:rPr>
        <w:t xml:space="preserve">12 </w:t>
      </w:r>
      <w:r>
        <w:rPr>
          <w:rFonts w:hint="eastAsia" w:ascii="宋体" w:hAnsi="宋体" w:cs="宋体"/>
          <w:color w:val="000000"/>
          <w:szCs w:val="24"/>
        </w:rPr>
        <w:t>℃</w:t>
      </w:r>
      <w:r>
        <w:rPr>
          <w:rFonts w:ascii="Times New Roman" w:hAnsi="Times New Roman"/>
          <w:color w:val="000000"/>
          <w:szCs w:val="24"/>
        </w:rPr>
        <w:t>，冬季绝对低温</w:t>
      </w:r>
      <w:r>
        <w:rPr>
          <w:rFonts w:hint="eastAsia" w:ascii="Times New Roman" w:hAnsi="Times New Roman"/>
          <w:szCs w:val="24"/>
        </w:rPr>
        <w:t>≥</w:t>
      </w:r>
      <w:r>
        <w:rPr>
          <w:rFonts w:hint="eastAsia" w:ascii="Times New Roman" w:hAnsi="Times New Roman"/>
          <w:szCs w:val="24"/>
          <w:lang w:val="en-US" w:eastAsia="zh-CN"/>
        </w:rPr>
        <w:t>-</w:t>
      </w:r>
      <w:r>
        <w:rPr>
          <w:rFonts w:hint="eastAsia" w:ascii="Times New Roman" w:hAnsi="Times New Roman"/>
          <w:szCs w:val="24"/>
        </w:rPr>
        <w:t>23 ℃</w:t>
      </w:r>
      <w:r>
        <w:rPr>
          <w:rFonts w:hint="eastAsia" w:ascii="Times New Roman" w:hAnsi="Times New Roman"/>
          <w:szCs w:val="24"/>
          <w:lang w:eastAsia="zh-CN"/>
        </w:rPr>
        <w:t>，</w:t>
      </w:r>
      <w:r>
        <w:rPr>
          <w:rFonts w:hint="eastAsia" w:ascii="Times New Roman" w:hAnsi="Times New Roman"/>
          <w:color w:val="000000"/>
          <w:szCs w:val="24"/>
        </w:rPr>
        <w:t>无霜期≥17</w:t>
      </w:r>
      <w:r>
        <w:rPr>
          <w:rFonts w:ascii="Times New Roman" w:hAnsi="Times New Roman"/>
          <w:color w:val="000000"/>
          <w:szCs w:val="24"/>
        </w:rPr>
        <w:t>0</w:t>
      </w:r>
      <w:r>
        <w:rPr>
          <w:rFonts w:hint="eastAsia" w:ascii="Times New Roman" w:hAnsi="Times New Roman"/>
          <w:color w:val="000000"/>
          <w:szCs w:val="24"/>
        </w:rPr>
        <w:t xml:space="preserve"> </w:t>
      </w:r>
      <w:r>
        <w:rPr>
          <w:rFonts w:ascii="Times New Roman" w:hAnsi="Times New Roman"/>
          <w:color w:val="000000"/>
          <w:szCs w:val="24"/>
        </w:rPr>
        <w:t>d；</w:t>
      </w:r>
      <w:r>
        <w:rPr>
          <w:rFonts w:hint="eastAsia" w:ascii="Times New Roman" w:hAnsi="Times New Roman"/>
          <w:color w:val="000000"/>
          <w:szCs w:val="24"/>
        </w:rPr>
        <w:t>海拔＜1600 m</w:t>
      </w:r>
      <w:r>
        <w:rPr>
          <w:rFonts w:ascii="Times New Roman" w:hAnsi="Times New Roman"/>
          <w:color w:val="000000"/>
          <w:szCs w:val="24"/>
        </w:rPr>
        <w:t>。</w:t>
      </w:r>
    </w:p>
    <w:p w14:paraId="7D80BB54">
      <w:pPr>
        <w:adjustRightInd/>
        <w:spacing w:line="240" w:lineRule="auto"/>
        <w:ind w:firstLine="420" w:firstLineChars="200"/>
        <w:rPr>
          <w:rFonts w:ascii="Times New Roman" w:hAnsi="Times New Roman"/>
          <w:szCs w:val="24"/>
        </w:rPr>
      </w:pPr>
      <w:r>
        <w:rPr>
          <w:rFonts w:hint="eastAsia" w:ascii="Times New Roman" w:hAnsi="Times New Roman"/>
          <w:color w:val="000000"/>
          <w:szCs w:val="24"/>
        </w:rPr>
        <w:t>选择土层深厚、排水良好的壤土或沙壤土，且周围环境、土壤无污染；不应选择前茬为核果类的地块。平原地建园宜设置防护林；山坡地建园宜选择背风向阳的上半坡；不应选择低洼潮湿地、沟谷地。</w:t>
      </w:r>
    </w:p>
    <w:p w14:paraId="4E9F7FDF">
      <w:pPr>
        <w:pStyle w:val="105"/>
        <w:numPr>
          <w:ilvl w:val="1"/>
          <w:numId w:val="0"/>
        </w:numPr>
        <w:spacing w:before="312" w:after="312"/>
        <w:ind w:leftChars="0"/>
        <w:rPr>
          <w:rFonts w:hint="eastAsia"/>
          <w:lang w:val="en-US" w:eastAsia="zh-CN"/>
        </w:rPr>
      </w:pPr>
      <w:bookmarkStart w:id="60" w:name="_Toc427877042"/>
      <w:bookmarkStart w:id="61" w:name="_Toc438649360"/>
      <w:bookmarkStart w:id="62" w:name="_Toc430956934"/>
      <w:bookmarkStart w:id="63" w:name="_Toc430957901"/>
      <w:bookmarkStart w:id="64" w:name="_Toc427874846"/>
      <w:bookmarkStart w:id="65" w:name="_Toc435193984"/>
      <w:bookmarkStart w:id="66" w:name="_Toc430957001"/>
      <w:bookmarkStart w:id="67" w:name="_Toc438562807"/>
      <w:bookmarkStart w:id="68" w:name="_Toc438476908"/>
      <w:bookmarkStart w:id="69" w:name="_Toc438552303"/>
      <w:bookmarkStart w:id="70" w:name="_Toc430957926"/>
      <w:bookmarkStart w:id="71" w:name="_Toc20044"/>
      <w:bookmarkStart w:id="72" w:name="_Toc427879249"/>
      <w:bookmarkStart w:id="73" w:name="_Toc16559"/>
      <w:r>
        <w:rPr>
          <w:rFonts w:hint="eastAsia"/>
          <w:lang w:val="en-US" w:eastAsia="zh-CN"/>
        </w:rPr>
        <w:t>5  建园</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7F97FAD">
      <w:pPr>
        <w:pStyle w:val="106"/>
        <w:numPr>
          <w:ilvl w:val="2"/>
          <w:numId w:val="0"/>
        </w:numPr>
        <w:spacing w:before="156" w:after="156"/>
        <w:ind w:leftChars="0"/>
        <w:rPr>
          <w:color w:val="000000"/>
        </w:rPr>
      </w:pPr>
      <w:r>
        <w:rPr>
          <w:rFonts w:hint="eastAsia"/>
          <w:lang w:val="en-US" w:eastAsia="zh-CN"/>
        </w:rPr>
        <w:t xml:space="preserve">5.1  </w:t>
      </w:r>
      <w:r>
        <w:rPr>
          <w:rFonts w:hint="eastAsia"/>
        </w:rPr>
        <w:t>主栽品</w:t>
      </w:r>
      <w:r>
        <w:rPr>
          <w:rFonts w:hint="eastAsia"/>
          <w:color w:val="000000"/>
        </w:rPr>
        <w:t>种</w:t>
      </w:r>
    </w:p>
    <w:p w14:paraId="19A3FEBF">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主栽品种</w:t>
      </w:r>
      <w:r>
        <w:rPr>
          <w:rFonts w:ascii="Times New Roman" w:hAnsi="Times New Roman"/>
          <w:color w:val="000000"/>
          <w:szCs w:val="24"/>
        </w:rPr>
        <w:t>选择</w:t>
      </w:r>
      <w:r>
        <w:rPr>
          <w:rFonts w:hint="eastAsia" w:ascii="Times New Roman" w:hAnsi="Times New Roman"/>
          <w:color w:val="000000"/>
          <w:szCs w:val="24"/>
        </w:rPr>
        <w:t>果壳较薄、种仁较大、</w:t>
      </w:r>
      <w:r>
        <w:rPr>
          <w:rFonts w:ascii="Times New Roman" w:hAnsi="Times New Roman"/>
          <w:color w:val="000000"/>
          <w:szCs w:val="24"/>
        </w:rPr>
        <w:t>抗逆性强、品质好、丰产的</w:t>
      </w:r>
      <w:r>
        <w:rPr>
          <w:rFonts w:hint="eastAsia" w:ascii="Times New Roman" w:hAnsi="Times New Roman"/>
          <w:color w:val="000000"/>
          <w:szCs w:val="24"/>
        </w:rPr>
        <w:t>适宜本区域种植的省级及以上审（认）定</w:t>
      </w:r>
      <w:r>
        <w:rPr>
          <w:rFonts w:ascii="Times New Roman" w:hAnsi="Times New Roman"/>
          <w:color w:val="000000"/>
          <w:szCs w:val="24"/>
        </w:rPr>
        <w:t>品种</w:t>
      </w:r>
      <w:r>
        <w:rPr>
          <w:rFonts w:hint="eastAsia" w:ascii="Times New Roman" w:hAnsi="Times New Roman"/>
          <w:color w:val="000000"/>
          <w:szCs w:val="24"/>
        </w:rPr>
        <w:t>。</w:t>
      </w:r>
      <w:r>
        <w:rPr>
          <w:rFonts w:ascii="Times New Roman" w:hAnsi="Times New Roman"/>
          <w:color w:val="000000"/>
          <w:szCs w:val="24"/>
        </w:rPr>
        <w:t>见附录A</w:t>
      </w:r>
      <w:r>
        <w:rPr>
          <w:rFonts w:hint="eastAsia" w:ascii="Times New Roman" w:hAnsi="Times New Roman"/>
          <w:color w:val="000000"/>
          <w:szCs w:val="24"/>
        </w:rPr>
        <w:t>。</w:t>
      </w:r>
    </w:p>
    <w:p w14:paraId="43709245">
      <w:pPr>
        <w:pStyle w:val="106"/>
        <w:numPr>
          <w:ilvl w:val="2"/>
          <w:numId w:val="0"/>
        </w:numPr>
        <w:spacing w:before="156" w:after="156"/>
        <w:ind w:leftChars="0"/>
        <w:rPr>
          <w:color w:val="000000"/>
        </w:rPr>
      </w:pPr>
      <w:r>
        <w:rPr>
          <w:rFonts w:hint="eastAsia"/>
          <w:lang w:val="en-US" w:eastAsia="zh-CN"/>
        </w:rPr>
        <w:t xml:space="preserve">5.2  </w:t>
      </w:r>
      <w:r>
        <w:rPr>
          <w:rFonts w:hint="eastAsia"/>
        </w:rPr>
        <w:t>授粉品种</w:t>
      </w:r>
    </w:p>
    <w:p w14:paraId="50A83356">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选择</w:t>
      </w:r>
      <w:r>
        <w:rPr>
          <w:rFonts w:ascii="Times New Roman" w:hAnsi="Times New Roman"/>
          <w:color w:val="000000"/>
          <w:szCs w:val="24"/>
        </w:rPr>
        <w:t>与主栽品种花期相近、亲和力强</w:t>
      </w:r>
      <w:r>
        <w:rPr>
          <w:rFonts w:hint="eastAsia" w:ascii="Times New Roman" w:hAnsi="Times New Roman"/>
          <w:color w:val="000000"/>
          <w:szCs w:val="24"/>
        </w:rPr>
        <w:t>、经济效益较好的品种。</w:t>
      </w:r>
      <w:r>
        <w:rPr>
          <w:rFonts w:ascii="Times New Roman" w:hAnsi="Times New Roman"/>
          <w:color w:val="000000"/>
          <w:szCs w:val="24"/>
        </w:rPr>
        <w:t>见附录A</w:t>
      </w:r>
      <w:r>
        <w:rPr>
          <w:rFonts w:hint="eastAsia" w:ascii="Times New Roman" w:hAnsi="Times New Roman"/>
          <w:color w:val="000000"/>
          <w:szCs w:val="24"/>
        </w:rPr>
        <w:t>。宜配置</w:t>
      </w:r>
      <w:r>
        <w:rPr>
          <w:rFonts w:hint="eastAsia" w:ascii="Times New Roman" w:hAnsi="Times New Roman"/>
          <w:color w:val="000000"/>
          <w:szCs w:val="24"/>
          <w:lang w:val="en-US" w:eastAsia="zh-CN"/>
        </w:rPr>
        <w:t>2</w:t>
      </w:r>
      <w:r>
        <w:rPr>
          <w:rFonts w:hint="eastAsia" w:ascii="Times New Roman" w:hAnsi="Times New Roman"/>
          <w:color w:val="000000"/>
          <w:szCs w:val="24"/>
        </w:rPr>
        <w:t>个</w:t>
      </w:r>
      <w:r>
        <w:rPr>
          <w:rFonts w:ascii="Times New Roman" w:hAnsi="Times New Roman"/>
          <w:color w:val="000000"/>
          <w:szCs w:val="24"/>
        </w:rPr>
        <w:t>～</w:t>
      </w:r>
      <w:r>
        <w:rPr>
          <w:rFonts w:hint="eastAsia" w:ascii="Times New Roman" w:hAnsi="Times New Roman"/>
          <w:color w:val="000000"/>
          <w:szCs w:val="24"/>
        </w:rPr>
        <w:t>3</w:t>
      </w:r>
      <w:r>
        <w:rPr>
          <w:rFonts w:ascii="Times New Roman" w:hAnsi="Times New Roman"/>
          <w:color w:val="000000"/>
          <w:szCs w:val="24"/>
        </w:rPr>
        <w:t>个授粉品种，授粉树</w:t>
      </w:r>
      <w:r>
        <w:rPr>
          <w:rFonts w:hint="eastAsia" w:ascii="Times New Roman" w:hAnsi="Times New Roman"/>
          <w:color w:val="000000"/>
          <w:szCs w:val="24"/>
        </w:rPr>
        <w:t>所占</w:t>
      </w:r>
      <w:r>
        <w:rPr>
          <w:rFonts w:ascii="Times New Roman" w:hAnsi="Times New Roman"/>
          <w:color w:val="000000"/>
          <w:szCs w:val="24"/>
        </w:rPr>
        <w:t>比例</w:t>
      </w:r>
      <w:r>
        <w:rPr>
          <w:rFonts w:hint="eastAsia" w:ascii="Times New Roman" w:hAnsi="Times New Roman"/>
          <w:color w:val="000000"/>
          <w:szCs w:val="24"/>
        </w:rPr>
        <w:t>为</w:t>
      </w:r>
      <w:r>
        <w:rPr>
          <w:rFonts w:ascii="Times New Roman" w:hAnsi="Times New Roman"/>
          <w:color w:val="000000"/>
          <w:szCs w:val="24"/>
        </w:rPr>
        <w:t>20</w:t>
      </w:r>
      <w:r>
        <w:rPr>
          <w:rFonts w:hint="eastAsia" w:ascii="Times New Roman" w:hAnsi="Times New Roman"/>
          <w:color w:val="000000"/>
          <w:szCs w:val="24"/>
        </w:rPr>
        <w:t xml:space="preserve"> </w:t>
      </w:r>
      <w:r>
        <w:rPr>
          <w:rFonts w:ascii="Times New Roman" w:hAnsi="Times New Roman"/>
          <w:color w:val="000000"/>
          <w:szCs w:val="24"/>
        </w:rPr>
        <w:t>%～30</w:t>
      </w:r>
      <w:r>
        <w:rPr>
          <w:rFonts w:hint="eastAsia" w:ascii="Times New Roman" w:hAnsi="Times New Roman"/>
          <w:color w:val="000000"/>
          <w:szCs w:val="24"/>
        </w:rPr>
        <w:t xml:space="preserve"> </w:t>
      </w:r>
      <w:r>
        <w:rPr>
          <w:rFonts w:ascii="Times New Roman" w:hAnsi="Times New Roman"/>
          <w:color w:val="000000"/>
          <w:szCs w:val="24"/>
        </w:rPr>
        <w:t>%。</w:t>
      </w:r>
    </w:p>
    <w:p w14:paraId="5FC65503">
      <w:pPr>
        <w:pStyle w:val="106"/>
        <w:numPr>
          <w:ilvl w:val="2"/>
          <w:numId w:val="0"/>
        </w:numPr>
        <w:spacing w:before="156" w:after="156"/>
        <w:ind w:leftChars="0"/>
      </w:pPr>
      <w:r>
        <w:rPr>
          <w:rFonts w:hint="eastAsia"/>
          <w:lang w:val="en-US" w:eastAsia="zh-CN"/>
        </w:rPr>
        <w:t xml:space="preserve">5.3  </w:t>
      </w:r>
      <w:r>
        <w:rPr>
          <w:rFonts w:hint="eastAsia"/>
        </w:rPr>
        <w:t>砧木选择</w:t>
      </w:r>
    </w:p>
    <w:p w14:paraId="56B84E12">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砧木选择山桃、野毛桃等。</w:t>
      </w:r>
    </w:p>
    <w:p w14:paraId="7797FDA6">
      <w:pPr>
        <w:pStyle w:val="106"/>
        <w:numPr>
          <w:ilvl w:val="2"/>
          <w:numId w:val="0"/>
        </w:numPr>
        <w:spacing w:before="156" w:after="156"/>
        <w:ind w:leftChars="0"/>
      </w:pPr>
      <w:r>
        <w:rPr>
          <w:rFonts w:hint="eastAsia"/>
          <w:lang w:val="en-US" w:eastAsia="zh-CN"/>
        </w:rPr>
        <w:t xml:space="preserve">5.4  </w:t>
      </w:r>
      <w:r>
        <w:rPr>
          <w:rFonts w:hint="eastAsia"/>
        </w:rPr>
        <w:t>苗木质量</w:t>
      </w:r>
    </w:p>
    <w:p w14:paraId="1CEAC5D7">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苗木选择生长健壮、根系发达的二年砧一年茎嫁接苗木，嫁接口上方</w:t>
      </w:r>
      <w:r>
        <w:rPr>
          <w:rFonts w:hint="eastAsia" w:ascii="Times New Roman" w:hAnsi="Times New Roman"/>
          <w:color w:val="000000"/>
          <w:szCs w:val="24"/>
          <w:lang w:val="en-US" w:eastAsia="zh-CN"/>
        </w:rPr>
        <w:t xml:space="preserve">10 </w:t>
      </w:r>
      <w:r>
        <w:rPr>
          <w:rFonts w:ascii="Times New Roman" w:hAnsi="Times New Roman"/>
          <w:color w:val="000000"/>
          <w:szCs w:val="24"/>
        </w:rPr>
        <w:t>cm</w:t>
      </w:r>
      <w:r>
        <w:rPr>
          <w:rFonts w:hint="eastAsia" w:ascii="Times New Roman" w:hAnsi="Times New Roman"/>
          <w:color w:val="000000"/>
          <w:szCs w:val="24"/>
        </w:rPr>
        <w:t>处直径1</w:t>
      </w:r>
      <w:r>
        <w:rPr>
          <w:rFonts w:ascii="Times New Roman" w:hAnsi="Times New Roman"/>
          <w:color w:val="000000"/>
          <w:szCs w:val="24"/>
        </w:rPr>
        <w:t xml:space="preserve"> cm</w:t>
      </w:r>
      <w:r>
        <w:rPr>
          <w:rFonts w:hint="eastAsia" w:ascii="Times New Roman" w:hAnsi="Times New Roman"/>
          <w:color w:val="000000"/>
          <w:szCs w:val="24"/>
        </w:rPr>
        <w:t>以上。要求砧穗充分愈合，根、干无劈裂，表皮无干缩，主根长度≥25 cm，侧根数量≥</w:t>
      </w:r>
      <w:r>
        <w:rPr>
          <w:rFonts w:hint="eastAsia" w:ascii="Times New Roman" w:hAnsi="Times New Roman"/>
          <w:color w:val="000000"/>
          <w:szCs w:val="24"/>
          <w:lang w:val="en-US" w:eastAsia="zh-CN"/>
        </w:rPr>
        <w:t>2</w:t>
      </w:r>
      <w:r>
        <w:rPr>
          <w:rFonts w:hint="eastAsia" w:ascii="Times New Roman" w:hAnsi="Times New Roman"/>
          <w:color w:val="000000"/>
          <w:szCs w:val="24"/>
        </w:rPr>
        <w:t>个。</w:t>
      </w:r>
    </w:p>
    <w:p w14:paraId="75B47862">
      <w:pPr>
        <w:pStyle w:val="106"/>
        <w:numPr>
          <w:ilvl w:val="2"/>
          <w:numId w:val="0"/>
        </w:numPr>
        <w:spacing w:before="156" w:after="156"/>
        <w:ind w:leftChars="0"/>
      </w:pPr>
      <w:r>
        <w:rPr>
          <w:rFonts w:hint="eastAsia"/>
          <w:lang w:val="en-US" w:eastAsia="zh-CN"/>
        </w:rPr>
        <w:t xml:space="preserve">5.5  </w:t>
      </w:r>
      <w:r>
        <w:rPr>
          <w:rFonts w:hint="eastAsia"/>
        </w:rPr>
        <w:t>栽植时期</w:t>
      </w:r>
    </w:p>
    <w:p w14:paraId="277B390B">
      <w:pPr>
        <w:adjustRightInd/>
        <w:spacing w:line="240" w:lineRule="auto"/>
        <w:ind w:firstLine="420" w:firstLineChars="200"/>
        <w:rPr>
          <w:rFonts w:ascii="Times New Roman" w:hAnsi="Times New Roman"/>
          <w:szCs w:val="24"/>
        </w:rPr>
      </w:pPr>
      <w:r>
        <w:rPr>
          <w:rFonts w:hint="eastAsia" w:ascii="Times New Roman" w:hAnsi="Times New Roman"/>
          <w:szCs w:val="24"/>
        </w:rPr>
        <w:t>没有灌溉条件的丘陵山区果园，以土壤封冻前秋季栽植为主，以树体萌芽前春季栽植为辅。有浇灌条件的果园，春季秋季栽植均可。春季栽植应适当晚栽，以栽植地山桃谢花后或扁桃初花期栽植为宜。</w:t>
      </w:r>
    </w:p>
    <w:p w14:paraId="3D483523">
      <w:pPr>
        <w:pStyle w:val="106"/>
        <w:numPr>
          <w:ilvl w:val="2"/>
          <w:numId w:val="0"/>
        </w:numPr>
        <w:spacing w:before="156" w:after="156"/>
        <w:ind w:leftChars="0"/>
      </w:pPr>
      <w:r>
        <w:rPr>
          <w:rFonts w:hint="eastAsia"/>
          <w:lang w:val="en-US" w:eastAsia="zh-CN"/>
        </w:rPr>
        <w:t xml:space="preserve">5.6  </w:t>
      </w:r>
      <w:r>
        <w:rPr>
          <w:rFonts w:hint="eastAsia"/>
        </w:rPr>
        <w:t>栽植方式与密度</w:t>
      </w:r>
    </w:p>
    <w:p w14:paraId="162B46E6">
      <w:pPr>
        <w:adjustRightInd/>
        <w:spacing w:line="240" w:lineRule="auto"/>
        <w:ind w:firstLine="420" w:firstLineChars="200"/>
        <w:rPr>
          <w:rFonts w:ascii="Times New Roman" w:hAnsi="Times New Roman"/>
          <w:szCs w:val="24"/>
        </w:rPr>
      </w:pPr>
      <w:r>
        <w:rPr>
          <w:rFonts w:ascii="Times New Roman" w:hAnsi="Times New Roman"/>
          <w:szCs w:val="24"/>
        </w:rPr>
        <w:t>平地</w:t>
      </w:r>
      <w:r>
        <w:rPr>
          <w:rFonts w:hint="eastAsia" w:ascii="Times New Roman" w:hAnsi="Times New Roman"/>
          <w:szCs w:val="24"/>
        </w:rPr>
        <w:t>和</w:t>
      </w:r>
      <w:r>
        <w:rPr>
          <w:rFonts w:ascii="Times New Roman" w:hAnsi="Times New Roman"/>
          <w:szCs w:val="24"/>
        </w:rPr>
        <w:t>山地大块梯田（地块</w:t>
      </w:r>
      <w:r>
        <w:rPr>
          <w:rFonts w:hint="eastAsia" w:ascii="Times New Roman" w:hAnsi="Times New Roman"/>
          <w:szCs w:val="24"/>
        </w:rPr>
        <w:t>面积≥0.3</w:t>
      </w:r>
      <w:r>
        <w:rPr>
          <w:rFonts w:ascii="Times New Roman" w:hAnsi="Times New Roman"/>
          <w:szCs w:val="24"/>
        </w:rPr>
        <w:t xml:space="preserve"> </w:t>
      </w:r>
      <w:r>
        <w:rPr>
          <w:rFonts w:hint="eastAsia" w:ascii="Times New Roman" w:hAnsi="Times New Roman"/>
          <w:szCs w:val="24"/>
        </w:rPr>
        <w:t>hm</w:t>
      </w:r>
      <w:r>
        <w:rPr>
          <w:rFonts w:hint="eastAsia" w:ascii="Times New Roman" w:hAnsi="Times New Roman"/>
          <w:szCs w:val="24"/>
          <w:vertAlign w:val="superscript"/>
        </w:rPr>
        <w:t>2</w:t>
      </w:r>
      <w:r>
        <w:rPr>
          <w:rFonts w:ascii="Times New Roman" w:hAnsi="Times New Roman"/>
          <w:szCs w:val="24"/>
        </w:rPr>
        <w:t>）建园，</w:t>
      </w:r>
      <w:r>
        <w:rPr>
          <w:rFonts w:hint="eastAsia" w:ascii="Times New Roman" w:hAnsi="Times New Roman"/>
          <w:szCs w:val="24"/>
        </w:rPr>
        <w:t>栽植行向</w:t>
      </w:r>
      <w:r>
        <w:rPr>
          <w:rFonts w:ascii="Times New Roman" w:hAnsi="Times New Roman"/>
          <w:szCs w:val="24"/>
        </w:rPr>
        <w:t>宜采用南北向；</w:t>
      </w:r>
      <w:r>
        <w:rPr>
          <w:rFonts w:hint="eastAsia" w:ascii="Times New Roman" w:hAnsi="Times New Roman"/>
          <w:szCs w:val="24"/>
        </w:rPr>
        <w:t>山地小块</w:t>
      </w:r>
      <w:r>
        <w:rPr>
          <w:rFonts w:ascii="Times New Roman" w:hAnsi="Times New Roman"/>
          <w:szCs w:val="24"/>
        </w:rPr>
        <w:t>梯田（地块</w:t>
      </w:r>
      <w:r>
        <w:rPr>
          <w:rFonts w:hint="eastAsia" w:ascii="Times New Roman" w:hAnsi="Times New Roman"/>
          <w:szCs w:val="24"/>
        </w:rPr>
        <w:t>面积＜0.3</w:t>
      </w:r>
      <w:r>
        <w:rPr>
          <w:rFonts w:ascii="Times New Roman" w:hAnsi="Times New Roman"/>
          <w:szCs w:val="24"/>
        </w:rPr>
        <w:t xml:space="preserve"> </w:t>
      </w:r>
      <w:r>
        <w:rPr>
          <w:rFonts w:hint="eastAsia" w:ascii="Times New Roman" w:hAnsi="Times New Roman"/>
          <w:szCs w:val="24"/>
        </w:rPr>
        <w:t>hm</w:t>
      </w:r>
      <w:r>
        <w:rPr>
          <w:rFonts w:hint="eastAsia" w:ascii="Times New Roman" w:hAnsi="Times New Roman"/>
          <w:szCs w:val="24"/>
          <w:vertAlign w:val="superscript"/>
        </w:rPr>
        <w:t>2</w:t>
      </w:r>
      <w:r>
        <w:rPr>
          <w:rFonts w:ascii="Times New Roman" w:hAnsi="Times New Roman"/>
          <w:szCs w:val="24"/>
        </w:rPr>
        <w:t>以上的地块）</w:t>
      </w:r>
      <w:r>
        <w:rPr>
          <w:rFonts w:hint="eastAsia" w:ascii="Times New Roman" w:hAnsi="Times New Roman"/>
          <w:szCs w:val="24"/>
        </w:rPr>
        <w:t>和缓</w:t>
      </w:r>
      <w:r>
        <w:rPr>
          <w:rFonts w:ascii="Times New Roman" w:hAnsi="Times New Roman"/>
          <w:szCs w:val="24"/>
        </w:rPr>
        <w:t>坡地（</w:t>
      </w:r>
      <w:r>
        <w:rPr>
          <w:rFonts w:hint="eastAsia" w:ascii="Times New Roman" w:hAnsi="Times New Roman"/>
          <w:szCs w:val="24"/>
        </w:rPr>
        <w:t>地块坡度≤</w:t>
      </w:r>
      <w:r>
        <w:rPr>
          <w:rFonts w:ascii="Times New Roman" w:hAnsi="Times New Roman"/>
          <w:szCs w:val="24"/>
        </w:rPr>
        <w:t>15</w:t>
      </w:r>
      <w:r>
        <w:rPr>
          <w:rFonts w:ascii="Times New Roman" w:hAnsi="宋体"/>
          <w:szCs w:val="24"/>
        </w:rPr>
        <w:t>°</w:t>
      </w:r>
      <w:r>
        <w:rPr>
          <w:rFonts w:ascii="Times New Roman" w:hAnsi="Times New Roman"/>
          <w:szCs w:val="24"/>
        </w:rPr>
        <w:t>）建园，</w:t>
      </w:r>
      <w:r>
        <w:rPr>
          <w:rFonts w:hint="eastAsia" w:ascii="Times New Roman" w:hAnsi="Times New Roman"/>
          <w:szCs w:val="24"/>
        </w:rPr>
        <w:t>行向</w:t>
      </w:r>
      <w:r>
        <w:rPr>
          <w:rFonts w:ascii="Times New Roman" w:hAnsi="Times New Roman"/>
          <w:szCs w:val="24"/>
        </w:rPr>
        <w:t>宜顺</w:t>
      </w:r>
      <w:r>
        <w:rPr>
          <w:rFonts w:hint="eastAsia" w:ascii="Times New Roman" w:hAnsi="Times New Roman"/>
          <w:szCs w:val="24"/>
        </w:rPr>
        <w:t>着</w:t>
      </w:r>
      <w:r>
        <w:rPr>
          <w:rFonts w:ascii="Times New Roman" w:hAnsi="Times New Roman"/>
          <w:szCs w:val="24"/>
        </w:rPr>
        <w:t>坡向。</w:t>
      </w:r>
    </w:p>
    <w:p w14:paraId="154BAE76">
      <w:pPr>
        <w:adjustRightInd/>
        <w:spacing w:line="240" w:lineRule="auto"/>
        <w:ind w:firstLine="420" w:firstLineChars="200"/>
        <w:rPr>
          <w:rFonts w:ascii="Times New Roman" w:hAnsi="Times New Roman"/>
          <w:szCs w:val="24"/>
        </w:rPr>
      </w:pPr>
      <w:r>
        <w:rPr>
          <w:rFonts w:ascii="Times New Roman" w:hAnsi="Times New Roman"/>
          <w:szCs w:val="24"/>
        </w:rPr>
        <w:t>平地扁桃园建园</w:t>
      </w:r>
      <w:r>
        <w:rPr>
          <w:rFonts w:hint="eastAsia" w:ascii="Times New Roman" w:hAnsi="Times New Roman"/>
          <w:szCs w:val="24"/>
        </w:rPr>
        <w:t>，</w:t>
      </w:r>
      <w:r>
        <w:rPr>
          <w:rFonts w:ascii="Times New Roman" w:hAnsi="Times New Roman"/>
          <w:szCs w:val="24"/>
        </w:rPr>
        <w:t>株距4</w:t>
      </w:r>
      <w:r>
        <w:rPr>
          <w:rFonts w:hint="eastAsia" w:ascii="Times New Roman" w:hAnsi="Times New Roman"/>
          <w:szCs w:val="24"/>
          <w:lang w:val="en-US" w:eastAsia="zh-CN"/>
        </w:rPr>
        <w:t xml:space="preserve"> </w:t>
      </w:r>
      <w:r>
        <w:rPr>
          <w:rFonts w:ascii="Times New Roman" w:hAnsi="Times New Roman"/>
          <w:szCs w:val="24"/>
        </w:rPr>
        <w:t>m～5</w:t>
      </w:r>
      <w:r>
        <w:rPr>
          <w:rFonts w:hint="eastAsia" w:ascii="Times New Roman" w:hAnsi="Times New Roman"/>
          <w:szCs w:val="24"/>
        </w:rPr>
        <w:t xml:space="preserve"> </w:t>
      </w:r>
      <w:r>
        <w:rPr>
          <w:rFonts w:ascii="Times New Roman" w:hAnsi="Times New Roman"/>
          <w:szCs w:val="24"/>
        </w:rPr>
        <w:t>m</w:t>
      </w:r>
      <w:r>
        <w:rPr>
          <w:rFonts w:hint="eastAsia" w:ascii="Times New Roman" w:hAnsi="Times New Roman"/>
          <w:szCs w:val="24"/>
        </w:rPr>
        <w:t>，</w:t>
      </w:r>
      <w:r>
        <w:rPr>
          <w:rFonts w:ascii="Times New Roman" w:hAnsi="Times New Roman"/>
          <w:szCs w:val="24"/>
        </w:rPr>
        <w:t>行距5 m～6</w:t>
      </w:r>
      <w:r>
        <w:rPr>
          <w:rFonts w:hint="eastAsia" w:ascii="Times New Roman" w:hAnsi="Times New Roman"/>
          <w:szCs w:val="24"/>
        </w:rPr>
        <w:t xml:space="preserve"> </w:t>
      </w:r>
      <w:r>
        <w:rPr>
          <w:rFonts w:ascii="Times New Roman" w:hAnsi="Times New Roman"/>
          <w:szCs w:val="24"/>
        </w:rPr>
        <w:t>m，每</w:t>
      </w:r>
      <w:r>
        <w:rPr>
          <w:rFonts w:hint="eastAsia" w:ascii="Times New Roman" w:hAnsi="Times New Roman"/>
          <w:szCs w:val="24"/>
        </w:rPr>
        <w:t>667</w:t>
      </w:r>
      <w:r>
        <w:rPr>
          <w:rFonts w:hint="eastAsia" w:ascii="Times New Roman" w:hAnsi="Times New Roman"/>
          <w:szCs w:val="24"/>
          <w:lang w:val="en-US" w:eastAsia="zh-CN"/>
        </w:rPr>
        <w:t xml:space="preserve"> </w:t>
      </w:r>
      <w:r>
        <w:rPr>
          <w:rFonts w:hint="eastAsia" w:ascii="Times New Roman" w:hAnsi="Times New Roman"/>
          <w:szCs w:val="24"/>
        </w:rPr>
        <w:t>m</w:t>
      </w:r>
      <w:r>
        <w:rPr>
          <w:rFonts w:hint="eastAsia" w:ascii="Times New Roman" w:hAnsi="Times New Roman"/>
          <w:szCs w:val="24"/>
          <w:vertAlign w:val="superscript"/>
        </w:rPr>
        <w:t>2</w:t>
      </w:r>
      <w:r>
        <w:rPr>
          <w:rFonts w:ascii="Times New Roman" w:hAnsi="Times New Roman"/>
          <w:szCs w:val="24"/>
        </w:rPr>
        <w:t>定植</w:t>
      </w:r>
      <w:r>
        <w:rPr>
          <w:rFonts w:hint="eastAsia" w:ascii="Times New Roman" w:hAnsi="Times New Roman"/>
          <w:szCs w:val="24"/>
        </w:rPr>
        <w:t>2</w:t>
      </w:r>
      <w:r>
        <w:rPr>
          <w:rFonts w:hint="eastAsia" w:ascii="Times New Roman" w:hAnsi="Times New Roman"/>
          <w:szCs w:val="24"/>
          <w:lang w:val="en-US" w:eastAsia="zh-CN"/>
        </w:rPr>
        <w:t>2</w:t>
      </w:r>
      <w:r>
        <w:rPr>
          <w:rFonts w:ascii="Times New Roman" w:hAnsi="Times New Roman"/>
          <w:szCs w:val="24"/>
        </w:rPr>
        <w:t>株～</w:t>
      </w:r>
      <w:r>
        <w:rPr>
          <w:rFonts w:hint="eastAsia" w:ascii="Times New Roman" w:hAnsi="Times New Roman"/>
          <w:szCs w:val="24"/>
        </w:rPr>
        <w:t>3</w:t>
      </w:r>
      <w:r>
        <w:rPr>
          <w:rFonts w:hint="eastAsia" w:ascii="Times New Roman" w:hAnsi="Times New Roman"/>
          <w:szCs w:val="24"/>
          <w:lang w:val="en-US" w:eastAsia="zh-CN"/>
        </w:rPr>
        <w:t>3</w:t>
      </w:r>
      <w:r>
        <w:rPr>
          <w:rFonts w:ascii="Times New Roman" w:hAnsi="Times New Roman"/>
          <w:szCs w:val="24"/>
        </w:rPr>
        <w:t>株；山地、</w:t>
      </w:r>
      <w:r>
        <w:rPr>
          <w:rFonts w:hint="eastAsia" w:ascii="Times New Roman" w:hAnsi="Times New Roman"/>
          <w:szCs w:val="24"/>
        </w:rPr>
        <w:t>缓</w:t>
      </w:r>
      <w:r>
        <w:rPr>
          <w:rFonts w:ascii="Times New Roman" w:hAnsi="Times New Roman"/>
          <w:szCs w:val="24"/>
        </w:rPr>
        <w:t>坡地扁桃园建园</w:t>
      </w:r>
      <w:r>
        <w:rPr>
          <w:rFonts w:hint="eastAsia" w:ascii="Times New Roman" w:hAnsi="Times New Roman"/>
          <w:szCs w:val="24"/>
        </w:rPr>
        <w:t>，</w:t>
      </w:r>
      <w:r>
        <w:rPr>
          <w:rFonts w:ascii="Times New Roman" w:hAnsi="Times New Roman"/>
          <w:szCs w:val="24"/>
        </w:rPr>
        <w:t>株距3</w:t>
      </w:r>
      <w:r>
        <w:rPr>
          <w:rFonts w:hint="eastAsia" w:ascii="Times New Roman" w:hAnsi="Times New Roman"/>
          <w:szCs w:val="24"/>
          <w:lang w:val="en-US" w:eastAsia="zh-CN"/>
        </w:rPr>
        <w:t xml:space="preserve"> </w:t>
      </w:r>
      <w:r>
        <w:rPr>
          <w:rFonts w:ascii="Times New Roman" w:hAnsi="Times New Roman"/>
          <w:szCs w:val="24"/>
        </w:rPr>
        <w:t>m～4</w:t>
      </w:r>
      <w:r>
        <w:rPr>
          <w:rFonts w:hint="eastAsia" w:ascii="Times New Roman" w:hAnsi="Times New Roman"/>
          <w:szCs w:val="24"/>
        </w:rPr>
        <w:t xml:space="preserve"> </w:t>
      </w:r>
      <w:r>
        <w:rPr>
          <w:rFonts w:ascii="Times New Roman" w:hAnsi="Times New Roman"/>
          <w:szCs w:val="24"/>
        </w:rPr>
        <w:t>m</w:t>
      </w:r>
      <w:r>
        <w:rPr>
          <w:rFonts w:hint="eastAsia" w:ascii="Times New Roman" w:hAnsi="Times New Roman"/>
          <w:szCs w:val="24"/>
        </w:rPr>
        <w:t>，</w:t>
      </w:r>
      <w:r>
        <w:rPr>
          <w:rFonts w:ascii="Times New Roman" w:hAnsi="Times New Roman"/>
          <w:szCs w:val="24"/>
        </w:rPr>
        <w:t>行距4 m～5</w:t>
      </w:r>
      <w:r>
        <w:rPr>
          <w:rFonts w:hint="eastAsia" w:ascii="Times New Roman" w:hAnsi="Times New Roman"/>
          <w:szCs w:val="24"/>
        </w:rPr>
        <w:t xml:space="preserve"> </w:t>
      </w:r>
      <w:r>
        <w:rPr>
          <w:rFonts w:ascii="Times New Roman" w:hAnsi="Times New Roman"/>
          <w:szCs w:val="24"/>
        </w:rPr>
        <w:t>m，每</w:t>
      </w:r>
      <w:r>
        <w:rPr>
          <w:rFonts w:hint="eastAsia" w:ascii="Times New Roman" w:hAnsi="Times New Roman"/>
          <w:szCs w:val="24"/>
        </w:rPr>
        <w:t>667</w:t>
      </w:r>
      <w:r>
        <w:rPr>
          <w:rFonts w:hint="eastAsia" w:ascii="Times New Roman" w:hAnsi="Times New Roman"/>
          <w:szCs w:val="24"/>
          <w:lang w:val="en-US" w:eastAsia="zh-CN"/>
        </w:rPr>
        <w:t xml:space="preserve"> </w:t>
      </w:r>
      <w:r>
        <w:rPr>
          <w:rFonts w:hint="eastAsia" w:ascii="Times New Roman" w:hAnsi="Times New Roman"/>
          <w:szCs w:val="24"/>
        </w:rPr>
        <w:t>m</w:t>
      </w:r>
      <w:r>
        <w:rPr>
          <w:rFonts w:hint="eastAsia" w:ascii="Times New Roman" w:hAnsi="Times New Roman"/>
          <w:szCs w:val="24"/>
          <w:vertAlign w:val="superscript"/>
        </w:rPr>
        <w:t>2</w:t>
      </w:r>
      <w:r>
        <w:rPr>
          <w:rFonts w:ascii="Times New Roman" w:hAnsi="Times New Roman"/>
          <w:szCs w:val="24"/>
        </w:rPr>
        <w:t>定植</w:t>
      </w:r>
      <w:r>
        <w:rPr>
          <w:rFonts w:hint="eastAsia" w:ascii="Times New Roman" w:hAnsi="Times New Roman"/>
          <w:szCs w:val="24"/>
        </w:rPr>
        <w:t>33</w:t>
      </w:r>
      <w:r>
        <w:rPr>
          <w:rFonts w:ascii="Times New Roman" w:hAnsi="Times New Roman"/>
          <w:szCs w:val="24"/>
        </w:rPr>
        <w:t>株～</w:t>
      </w:r>
      <w:r>
        <w:rPr>
          <w:rFonts w:hint="eastAsia" w:ascii="Times New Roman" w:hAnsi="Times New Roman"/>
          <w:szCs w:val="24"/>
        </w:rPr>
        <w:t>5</w:t>
      </w:r>
      <w:r>
        <w:rPr>
          <w:rFonts w:hint="eastAsia" w:ascii="Times New Roman" w:hAnsi="Times New Roman"/>
          <w:szCs w:val="24"/>
          <w:lang w:val="en-US" w:eastAsia="zh-CN"/>
        </w:rPr>
        <w:t>5</w:t>
      </w:r>
      <w:r>
        <w:rPr>
          <w:rFonts w:ascii="Times New Roman" w:hAnsi="Times New Roman"/>
          <w:szCs w:val="24"/>
        </w:rPr>
        <w:t>株。</w:t>
      </w:r>
    </w:p>
    <w:p w14:paraId="1370B498">
      <w:pPr>
        <w:pStyle w:val="106"/>
        <w:numPr>
          <w:ilvl w:val="2"/>
          <w:numId w:val="0"/>
        </w:numPr>
        <w:spacing w:before="156" w:after="156"/>
        <w:ind w:leftChars="0"/>
      </w:pPr>
      <w:r>
        <w:rPr>
          <w:rFonts w:hint="eastAsia"/>
          <w:lang w:val="en-US" w:eastAsia="zh-CN"/>
        </w:rPr>
        <w:t xml:space="preserve">5.7  </w:t>
      </w:r>
      <w:r>
        <w:rPr>
          <w:rFonts w:hint="eastAsia"/>
        </w:rPr>
        <w:t>栽植方法</w:t>
      </w:r>
    </w:p>
    <w:p w14:paraId="65CCE8E2">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先挖好长、宽、深各60</w:t>
      </w:r>
      <w:r>
        <w:rPr>
          <w:rFonts w:hint="eastAsia" w:ascii="Times New Roman" w:hAnsi="Times New Roman"/>
          <w:color w:val="000000"/>
          <w:szCs w:val="24"/>
          <w:lang w:val="en-US" w:eastAsia="zh-CN"/>
        </w:rPr>
        <w:t xml:space="preserve"> </w:t>
      </w:r>
      <w:r>
        <w:rPr>
          <w:rFonts w:ascii="Times New Roman" w:hAnsi="Times New Roman"/>
          <w:color w:val="000000"/>
          <w:szCs w:val="24"/>
        </w:rPr>
        <w:t>cm～</w:t>
      </w:r>
      <w:r>
        <w:rPr>
          <w:rFonts w:hint="eastAsia" w:ascii="Times New Roman" w:hAnsi="Times New Roman"/>
          <w:color w:val="000000"/>
          <w:szCs w:val="24"/>
        </w:rPr>
        <w:t>80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cm的栽植穴，将表土与30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kg～50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kg有机肥等量拌匀填进穴内，再适当填入心土至距地表20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cm处。定植前将损伤的根系断面修剪平整，用清水浸根10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h～12</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h后。将苗木嫁接口背向迎风面放入穴内中部，边填土边踩实边提苗，使根系舒展。栽后踩实土壤，整好树盘，立即浇透水，7</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d～10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d后浇1次缓苗水，并将树盘覆盖地膜。</w:t>
      </w:r>
    </w:p>
    <w:p w14:paraId="010F12C0">
      <w:pPr>
        <w:pStyle w:val="106"/>
        <w:numPr>
          <w:ilvl w:val="2"/>
          <w:numId w:val="0"/>
        </w:numPr>
        <w:spacing w:before="156" w:after="156"/>
        <w:ind w:leftChars="0"/>
      </w:pPr>
      <w:r>
        <w:rPr>
          <w:rFonts w:hint="eastAsia"/>
          <w:lang w:val="en-US" w:eastAsia="zh-CN"/>
        </w:rPr>
        <w:t xml:space="preserve">5.8  </w:t>
      </w:r>
      <w:r>
        <w:rPr>
          <w:rFonts w:hint="eastAsia"/>
        </w:rPr>
        <w:t>栽后管理</w:t>
      </w:r>
    </w:p>
    <w:p w14:paraId="3A4F11C3">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秋栽，可埋土越冬，或套宽编织袋并在袋内填土以越冬，也可内缠卫生纸外缠地膜以越冬，卫生纸和地膜宽度10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cm～20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cm为宜。栽后及时覆盖地膜。于春季芽体萌动期解除越冬防护措施。栽后注意防治金龟子、中华鼢鼠、兔害等。</w:t>
      </w:r>
    </w:p>
    <w:p w14:paraId="066940A8">
      <w:pPr>
        <w:pStyle w:val="105"/>
        <w:numPr>
          <w:ilvl w:val="1"/>
          <w:numId w:val="0"/>
        </w:numPr>
        <w:spacing w:before="312" w:after="312"/>
        <w:ind w:leftChars="0"/>
        <w:rPr>
          <w:rFonts w:hint="eastAsia"/>
          <w:lang w:val="en-US" w:eastAsia="zh-CN"/>
        </w:rPr>
      </w:pPr>
      <w:bookmarkStart w:id="74" w:name="_Toc25290"/>
      <w:bookmarkStart w:id="75" w:name="_Toc12078"/>
      <w:r>
        <w:rPr>
          <w:rFonts w:hint="eastAsia"/>
          <w:lang w:val="en-US" w:eastAsia="zh-CN"/>
        </w:rPr>
        <w:t>6  整形修剪</w:t>
      </w:r>
      <w:bookmarkEnd w:id="74"/>
      <w:bookmarkEnd w:id="75"/>
    </w:p>
    <w:p w14:paraId="0EE231AB">
      <w:pPr>
        <w:pStyle w:val="106"/>
        <w:numPr>
          <w:ilvl w:val="2"/>
          <w:numId w:val="0"/>
        </w:numPr>
        <w:spacing w:before="156" w:after="156"/>
        <w:ind w:leftChars="0"/>
      </w:pPr>
      <w:r>
        <w:rPr>
          <w:rFonts w:hint="eastAsia"/>
          <w:lang w:val="en-US" w:eastAsia="zh-CN"/>
        </w:rPr>
        <w:t xml:space="preserve">6.1  </w:t>
      </w:r>
      <w:r>
        <w:rPr>
          <w:rFonts w:hint="eastAsia"/>
        </w:rPr>
        <w:t>主要树形</w:t>
      </w:r>
    </w:p>
    <w:p w14:paraId="16982F49">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采用自然开心形树形。主干高60 cm～80 cm，无中央领导干，主干上分3个～4个主枝，均匀分布呈开心状，主枝与主干角度</w:t>
      </w:r>
      <w:r>
        <w:rPr>
          <w:rFonts w:hint="eastAsia" w:ascii="Times New Roman" w:hAnsi="Times New Roman"/>
          <w:b w:val="0"/>
          <w:bCs w:val="0"/>
          <w:color w:val="000000"/>
          <w:szCs w:val="24"/>
          <w:lang w:val="en-US" w:eastAsia="zh-CN"/>
        </w:rPr>
        <w:t>4</w:t>
      </w:r>
      <w:r>
        <w:rPr>
          <w:rFonts w:hint="eastAsia" w:ascii="Times New Roman" w:hAnsi="Times New Roman"/>
          <w:b w:val="0"/>
          <w:bCs w:val="0"/>
          <w:color w:val="000000"/>
          <w:szCs w:val="24"/>
        </w:rPr>
        <w:t>0°～60°</w:t>
      </w:r>
      <w:r>
        <w:rPr>
          <w:rFonts w:hint="eastAsia" w:ascii="Times New Roman" w:hAnsi="Times New Roman"/>
          <w:color w:val="000000"/>
          <w:szCs w:val="24"/>
        </w:rPr>
        <w:t>，各主枝间距10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cm～40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cm，主枝向一定离心方向延伸，每主枝上选留2个～3个侧枝，侧枝上着生结果枝组。树高4</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m～</w:t>
      </w:r>
      <w:r>
        <w:rPr>
          <w:rFonts w:ascii="Times New Roman" w:hAnsi="Times New Roman"/>
          <w:color w:val="000000"/>
          <w:szCs w:val="24"/>
        </w:rPr>
        <w:t>6</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m，树冠呈圆形或扁圆形。</w:t>
      </w:r>
    </w:p>
    <w:p w14:paraId="675AC5E7">
      <w:pPr>
        <w:pStyle w:val="106"/>
        <w:numPr>
          <w:ilvl w:val="2"/>
          <w:numId w:val="0"/>
        </w:numPr>
        <w:spacing w:before="156" w:after="156"/>
        <w:ind w:leftChars="0"/>
      </w:pPr>
      <w:bookmarkStart w:id="76" w:name="_Toc430956949"/>
      <w:r>
        <w:rPr>
          <w:rFonts w:hint="eastAsia"/>
          <w:lang w:val="en-US" w:eastAsia="zh-CN"/>
        </w:rPr>
        <w:t xml:space="preserve">6.2  </w:t>
      </w:r>
      <w:r>
        <w:rPr>
          <w:rFonts w:hint="eastAsia"/>
        </w:rPr>
        <w:t>整形修剪技术</w:t>
      </w:r>
      <w:bookmarkEnd w:id="76"/>
    </w:p>
    <w:p w14:paraId="20672C93">
      <w:pPr>
        <w:pStyle w:val="66"/>
        <w:numPr>
          <w:ilvl w:val="3"/>
          <w:numId w:val="0"/>
        </w:numPr>
        <w:spacing w:before="156" w:after="156"/>
      </w:pPr>
      <w:r>
        <w:rPr>
          <w:rFonts w:hint="eastAsia"/>
          <w:lang w:val="en-US" w:eastAsia="zh-CN"/>
        </w:rPr>
        <w:t xml:space="preserve">6.2.1  </w:t>
      </w:r>
      <w:r>
        <w:rPr>
          <w:rFonts w:hint="eastAsia"/>
        </w:rPr>
        <w:t>幼树期</w:t>
      </w:r>
    </w:p>
    <w:p w14:paraId="3125CE55">
      <w:pPr>
        <w:adjustRightInd/>
        <w:spacing w:line="240" w:lineRule="auto"/>
        <w:ind w:firstLine="420" w:firstLineChars="200"/>
        <w:rPr>
          <w:rFonts w:ascii="Times New Roman" w:hAnsi="Times New Roman"/>
          <w:szCs w:val="24"/>
        </w:rPr>
      </w:pPr>
      <w:r>
        <w:rPr>
          <w:rFonts w:hint="eastAsia" w:ascii="Times New Roman" w:hAnsi="Times New Roman"/>
          <w:color w:val="000000"/>
          <w:szCs w:val="24"/>
        </w:rPr>
        <w:t>定植后，在60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cm～80 cm处定干，剪口</w:t>
      </w:r>
      <w:r>
        <w:rPr>
          <w:rFonts w:hint="eastAsia" w:ascii="Times New Roman" w:hAnsi="Times New Roman"/>
          <w:szCs w:val="24"/>
        </w:rPr>
        <w:t>下留</w:t>
      </w:r>
      <w:r>
        <w:rPr>
          <w:rFonts w:hint="eastAsia" w:ascii="Times New Roman" w:hAnsi="Times New Roman"/>
          <w:szCs w:val="24"/>
          <w:lang w:val="en-US" w:eastAsia="zh-CN"/>
        </w:rPr>
        <w:t>7</w:t>
      </w:r>
      <w:r>
        <w:rPr>
          <w:rFonts w:hint="eastAsia" w:ascii="Times New Roman" w:hAnsi="Times New Roman"/>
          <w:szCs w:val="24"/>
        </w:rPr>
        <w:t>个～10个饱满芽；根据树体结构，逐年选留主枝和侧枝，并根据树形拉枝、撑枝确定主枝角度和方位；主枝剪留长度40</w:t>
      </w:r>
      <w:r>
        <w:rPr>
          <w:rFonts w:hint="eastAsia" w:ascii="Times New Roman" w:hAnsi="Times New Roman"/>
          <w:szCs w:val="24"/>
          <w:lang w:val="en-US" w:eastAsia="zh-CN"/>
        </w:rPr>
        <w:t xml:space="preserve"> </w:t>
      </w:r>
      <w:r>
        <w:rPr>
          <w:rFonts w:hint="eastAsia" w:ascii="Times New Roman" w:hAnsi="Times New Roman"/>
          <w:szCs w:val="24"/>
        </w:rPr>
        <w:t>cm～50</w:t>
      </w:r>
      <w:r>
        <w:rPr>
          <w:rFonts w:hint="eastAsia" w:ascii="Times New Roman" w:hAnsi="Times New Roman"/>
          <w:szCs w:val="24"/>
          <w:lang w:val="en-US" w:eastAsia="zh-CN"/>
        </w:rPr>
        <w:t xml:space="preserve"> </w:t>
      </w:r>
      <w:r>
        <w:rPr>
          <w:rFonts w:hint="eastAsia" w:ascii="Times New Roman" w:hAnsi="Times New Roman"/>
          <w:szCs w:val="24"/>
        </w:rPr>
        <w:t>cm，侧枝30</w:t>
      </w:r>
      <w:r>
        <w:rPr>
          <w:rFonts w:hint="eastAsia" w:ascii="Times New Roman" w:hAnsi="Times New Roman"/>
          <w:szCs w:val="24"/>
          <w:lang w:val="en-US" w:eastAsia="zh-CN"/>
        </w:rPr>
        <w:t xml:space="preserve"> </w:t>
      </w:r>
      <w:r>
        <w:rPr>
          <w:rFonts w:hint="eastAsia" w:ascii="Times New Roman" w:hAnsi="Times New Roman"/>
          <w:szCs w:val="24"/>
        </w:rPr>
        <w:t>cm～40</w:t>
      </w:r>
      <w:r>
        <w:rPr>
          <w:rFonts w:hint="eastAsia" w:ascii="Times New Roman" w:hAnsi="Times New Roman"/>
          <w:szCs w:val="24"/>
          <w:lang w:val="en-US" w:eastAsia="zh-CN"/>
        </w:rPr>
        <w:t xml:space="preserve"> </w:t>
      </w:r>
      <w:r>
        <w:rPr>
          <w:rFonts w:hint="eastAsia" w:ascii="Times New Roman" w:hAnsi="Times New Roman"/>
          <w:szCs w:val="24"/>
        </w:rPr>
        <w:t>cm，对主干上的其它枝条进行摘心、拉枝。</w:t>
      </w:r>
    </w:p>
    <w:p w14:paraId="12695EEF">
      <w:pPr>
        <w:pStyle w:val="66"/>
        <w:numPr>
          <w:ilvl w:val="3"/>
          <w:numId w:val="0"/>
        </w:numPr>
        <w:spacing w:before="156" w:after="156"/>
      </w:pPr>
      <w:r>
        <w:rPr>
          <w:rFonts w:hint="eastAsia"/>
          <w:lang w:val="en-US" w:eastAsia="zh-CN"/>
        </w:rPr>
        <w:t xml:space="preserve">6.2.2  </w:t>
      </w:r>
      <w:r>
        <w:rPr>
          <w:rFonts w:hint="eastAsia"/>
        </w:rPr>
        <w:t>初果期和盛果期</w:t>
      </w:r>
    </w:p>
    <w:p w14:paraId="6F6BB84F">
      <w:pPr>
        <w:adjustRightInd/>
        <w:spacing w:line="240" w:lineRule="auto"/>
        <w:ind w:firstLine="420" w:firstLineChars="200"/>
        <w:rPr>
          <w:rFonts w:ascii="Times New Roman" w:hAnsi="Times New Roman"/>
          <w:color w:val="000000"/>
          <w:szCs w:val="24"/>
        </w:rPr>
      </w:pPr>
      <w:r>
        <w:rPr>
          <w:rFonts w:ascii="Times New Roman" w:hAnsi="Times New Roman"/>
          <w:color w:val="000000"/>
          <w:szCs w:val="24"/>
        </w:rPr>
        <w:t>初果期，疏去平行枝、交叉枝等。盛果初期，短果枝大量形成，适当短截各级延长枝。盛果期，延长枝</w:t>
      </w:r>
      <w:r>
        <w:rPr>
          <w:rFonts w:hint="eastAsia" w:ascii="Times New Roman" w:hAnsi="Times New Roman"/>
          <w:color w:val="000000"/>
          <w:szCs w:val="24"/>
        </w:rPr>
        <w:t>可</w:t>
      </w:r>
      <w:r>
        <w:rPr>
          <w:rFonts w:ascii="Times New Roman" w:hAnsi="Times New Roman"/>
          <w:color w:val="000000"/>
          <w:szCs w:val="24"/>
        </w:rPr>
        <w:t>全部长放，促使顶端大量形成结果枝。适当疏剪结果枝组，去弱留强，去小留大，去直立留平斜。各类枝组的回缩修剪要交替进行；内膛选留预备枝，</w:t>
      </w:r>
      <w:r>
        <w:rPr>
          <w:rFonts w:hint="eastAsia" w:ascii="Times New Roman" w:hAnsi="Times New Roman"/>
          <w:color w:val="000000"/>
          <w:szCs w:val="24"/>
        </w:rPr>
        <w:t>可</w:t>
      </w:r>
      <w:r>
        <w:rPr>
          <w:rFonts w:ascii="Times New Roman" w:hAnsi="Times New Roman"/>
          <w:color w:val="000000"/>
          <w:szCs w:val="24"/>
        </w:rPr>
        <w:t>使其转化为结果枝。</w:t>
      </w:r>
    </w:p>
    <w:p w14:paraId="128AA577">
      <w:pPr>
        <w:pStyle w:val="66"/>
        <w:numPr>
          <w:ilvl w:val="3"/>
          <w:numId w:val="0"/>
        </w:numPr>
        <w:spacing w:before="156" w:after="156"/>
      </w:pPr>
      <w:r>
        <w:rPr>
          <w:rFonts w:hint="eastAsia"/>
          <w:lang w:val="en-US" w:eastAsia="zh-CN"/>
        </w:rPr>
        <w:t xml:space="preserve">6.2.3  </w:t>
      </w:r>
      <w:r>
        <w:rPr>
          <w:rFonts w:hint="eastAsia"/>
        </w:rPr>
        <w:t>衰老期</w:t>
      </w:r>
    </w:p>
    <w:p w14:paraId="6BFA75F5">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对骨干枝进行回缩修剪；利用树冠内膛徒长枝作枝头，对新生枝结合夏季抹芽、疏枝、摘心，形成结果枝组。留下小侧枝进行短截，留芽5个～7个。</w:t>
      </w:r>
    </w:p>
    <w:p w14:paraId="028C2CE5">
      <w:pPr>
        <w:pStyle w:val="105"/>
        <w:numPr>
          <w:ilvl w:val="1"/>
          <w:numId w:val="0"/>
        </w:numPr>
        <w:spacing w:before="312" w:after="312"/>
        <w:ind w:leftChars="0"/>
        <w:rPr>
          <w:rFonts w:hint="eastAsia"/>
          <w:lang w:val="en-US" w:eastAsia="zh-CN"/>
        </w:rPr>
      </w:pPr>
      <w:bookmarkStart w:id="77" w:name="_Toc28885"/>
      <w:bookmarkStart w:id="78" w:name="_Toc27233"/>
      <w:r>
        <w:rPr>
          <w:rFonts w:hint="eastAsia"/>
          <w:lang w:val="en-US" w:eastAsia="zh-CN"/>
        </w:rPr>
        <w:t>7  花果管理</w:t>
      </w:r>
      <w:bookmarkEnd w:id="77"/>
      <w:bookmarkEnd w:id="78"/>
    </w:p>
    <w:p w14:paraId="56A30E74">
      <w:pPr>
        <w:pStyle w:val="106"/>
        <w:numPr>
          <w:ilvl w:val="2"/>
          <w:numId w:val="0"/>
        </w:numPr>
        <w:spacing w:before="156" w:after="156"/>
        <w:ind w:leftChars="0"/>
      </w:pPr>
      <w:r>
        <w:rPr>
          <w:rFonts w:hint="eastAsia"/>
          <w:lang w:val="en-US" w:eastAsia="zh-CN"/>
        </w:rPr>
        <w:t xml:space="preserve">7.1  </w:t>
      </w:r>
      <w:r>
        <w:rPr>
          <w:rFonts w:hint="eastAsia"/>
        </w:rPr>
        <w:t>花期授粉</w:t>
      </w:r>
    </w:p>
    <w:p w14:paraId="486E5A00">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于初花期每667</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m</w:t>
      </w:r>
      <w:r>
        <w:rPr>
          <w:rFonts w:hint="eastAsia" w:ascii="Times New Roman" w:hAnsi="Times New Roman"/>
          <w:color w:val="000000"/>
          <w:szCs w:val="24"/>
          <w:vertAlign w:val="superscript"/>
        </w:rPr>
        <w:t>2</w:t>
      </w:r>
      <w:r>
        <w:rPr>
          <w:rFonts w:hint="eastAsia" w:ascii="Times New Roman" w:hAnsi="Times New Roman"/>
          <w:color w:val="000000"/>
          <w:szCs w:val="24"/>
        </w:rPr>
        <w:t>可放置</w:t>
      </w:r>
      <w:r>
        <w:rPr>
          <w:rFonts w:hint="eastAsia" w:ascii="Times New Roman" w:hAnsi="Times New Roman"/>
          <w:color w:val="000000"/>
          <w:szCs w:val="24"/>
          <w:lang w:val="en-US" w:eastAsia="zh-CN"/>
        </w:rPr>
        <w:t>1</w:t>
      </w:r>
      <w:r>
        <w:rPr>
          <w:rFonts w:hint="eastAsia" w:ascii="Times New Roman" w:hAnsi="Times New Roman"/>
          <w:color w:val="000000"/>
          <w:szCs w:val="24"/>
        </w:rPr>
        <w:t>箱</w:t>
      </w:r>
      <w:r>
        <w:rPr>
          <w:rFonts w:hint="eastAsia" w:ascii="Times New Roman" w:hAnsi="Times New Roman"/>
          <w:color w:val="000000"/>
          <w:szCs w:val="24"/>
          <w:lang w:val="en-US" w:eastAsia="zh-CN"/>
        </w:rPr>
        <w:t>4</w:t>
      </w:r>
      <w:r>
        <w:rPr>
          <w:rFonts w:hint="eastAsia" w:ascii="Times New Roman" w:hAnsi="Times New Roman"/>
          <w:color w:val="000000"/>
          <w:szCs w:val="24"/>
        </w:rPr>
        <w:t>脾及以上蜂群进行授粉。如遇花期大风、低温等恶劣天气影响蜜蜂授粉时，可利用喷粉器进行人工辅助授粉。</w:t>
      </w:r>
    </w:p>
    <w:p w14:paraId="4C7F8505">
      <w:pPr>
        <w:pStyle w:val="106"/>
        <w:numPr>
          <w:ilvl w:val="2"/>
          <w:numId w:val="0"/>
        </w:numPr>
        <w:spacing w:before="156" w:after="156"/>
        <w:ind w:leftChars="0"/>
      </w:pPr>
      <w:r>
        <w:rPr>
          <w:rFonts w:hint="eastAsia"/>
          <w:lang w:val="en-US" w:eastAsia="zh-CN"/>
        </w:rPr>
        <w:t xml:space="preserve">7.2  </w:t>
      </w:r>
      <w:r>
        <w:rPr>
          <w:rFonts w:hint="eastAsia"/>
        </w:rPr>
        <w:t>预防晚霜危害</w:t>
      </w:r>
    </w:p>
    <w:p w14:paraId="531EF48C">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在扁桃花期及幼果期关注当地天气预报，于霜冻来临前，在果园上风向和内部准备落叶、树枝、秸秆、锯末等成堆并覆土，进行熏烟，一般每667</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m</w:t>
      </w:r>
      <w:r>
        <w:rPr>
          <w:rFonts w:hint="eastAsia" w:ascii="Times New Roman" w:hAnsi="Times New Roman"/>
          <w:color w:val="000000"/>
          <w:szCs w:val="24"/>
          <w:vertAlign w:val="superscript"/>
        </w:rPr>
        <w:t>2</w:t>
      </w:r>
      <w:r>
        <w:rPr>
          <w:rFonts w:hint="eastAsia" w:ascii="Times New Roman" w:hAnsi="Times New Roman"/>
          <w:color w:val="000000"/>
          <w:szCs w:val="24"/>
        </w:rPr>
        <w:t>设置4堆～5堆。有灌溉条件的果园，在霜冻来临前3 d～5 d，浇</w:t>
      </w:r>
      <w:r>
        <w:rPr>
          <w:rFonts w:hint="eastAsia" w:ascii="Times New Roman" w:hAnsi="Times New Roman"/>
          <w:color w:val="000000"/>
          <w:szCs w:val="24"/>
          <w:lang w:val="en-US" w:eastAsia="zh-CN"/>
        </w:rPr>
        <w:t>1</w:t>
      </w:r>
      <w:r>
        <w:rPr>
          <w:rFonts w:hint="eastAsia" w:ascii="Times New Roman" w:hAnsi="Times New Roman"/>
          <w:color w:val="000000"/>
          <w:szCs w:val="24"/>
        </w:rPr>
        <w:t>次透水。</w:t>
      </w:r>
    </w:p>
    <w:p w14:paraId="65986FA1">
      <w:pPr>
        <w:pStyle w:val="106"/>
        <w:numPr>
          <w:ilvl w:val="2"/>
          <w:numId w:val="0"/>
        </w:numPr>
        <w:spacing w:before="156" w:after="156"/>
        <w:ind w:leftChars="0"/>
      </w:pPr>
      <w:bookmarkStart w:id="79" w:name="_Toc430956953"/>
      <w:r>
        <w:rPr>
          <w:rFonts w:hint="eastAsia"/>
          <w:lang w:val="en-US" w:eastAsia="zh-CN"/>
        </w:rPr>
        <w:t xml:space="preserve">7.3  </w:t>
      </w:r>
      <w:r>
        <w:rPr>
          <w:rFonts w:hint="eastAsia"/>
        </w:rPr>
        <w:t>预防鼠害</w:t>
      </w:r>
      <w:bookmarkEnd w:id="79"/>
    </w:p>
    <w:p w14:paraId="23FF6C5A">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扁桃核仁发育期至成熟期，可采用鼠夹、粘鼠板、投放鼠类天敌等措施预防鼠害。</w:t>
      </w:r>
    </w:p>
    <w:p w14:paraId="18EC6BA6">
      <w:pPr>
        <w:pStyle w:val="106"/>
        <w:numPr>
          <w:ilvl w:val="2"/>
          <w:numId w:val="0"/>
        </w:numPr>
        <w:spacing w:before="156" w:after="156"/>
        <w:ind w:leftChars="0"/>
      </w:pPr>
      <w:bookmarkStart w:id="80" w:name="_Toc430956954"/>
      <w:r>
        <w:rPr>
          <w:rFonts w:hint="eastAsia"/>
          <w:lang w:val="en-US" w:eastAsia="zh-CN"/>
        </w:rPr>
        <w:t xml:space="preserve">7.4  </w:t>
      </w:r>
      <w:r>
        <w:rPr>
          <w:rFonts w:hint="eastAsia"/>
        </w:rPr>
        <w:t>预防鸟害</w:t>
      </w:r>
      <w:bookmarkEnd w:id="80"/>
    </w:p>
    <w:p w14:paraId="40EA8690">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扁桃核仁发育期至成熟期，可采用人工驱鸟、使用防鸟网、驱鸟带、驱鸟剂、驱鸟炮等措施预防鸟害。</w:t>
      </w:r>
    </w:p>
    <w:p w14:paraId="00391231">
      <w:pPr>
        <w:pStyle w:val="105"/>
        <w:numPr>
          <w:ilvl w:val="1"/>
          <w:numId w:val="0"/>
        </w:numPr>
        <w:spacing w:before="312" w:after="312"/>
        <w:ind w:leftChars="0"/>
        <w:rPr>
          <w:rFonts w:hint="eastAsia"/>
          <w:lang w:val="en-US" w:eastAsia="zh-CN"/>
        </w:rPr>
      </w:pPr>
      <w:bookmarkStart w:id="81" w:name="_Toc27415"/>
      <w:bookmarkStart w:id="82" w:name="_Toc29420"/>
      <w:bookmarkStart w:id="83" w:name="_Toc427874848"/>
      <w:bookmarkStart w:id="84" w:name="_Toc430957903"/>
      <w:bookmarkStart w:id="85" w:name="_Toc430957003"/>
      <w:bookmarkStart w:id="86" w:name="_Toc435193986"/>
      <w:bookmarkStart w:id="87" w:name="_Toc430957928"/>
      <w:bookmarkStart w:id="88" w:name="_Toc427877044"/>
      <w:bookmarkStart w:id="89" w:name="_Toc427879251"/>
      <w:bookmarkStart w:id="90" w:name="_Toc438476910"/>
      <w:bookmarkStart w:id="91" w:name="_Toc430956946"/>
      <w:bookmarkStart w:id="92" w:name="_Toc438649362"/>
      <w:bookmarkStart w:id="93" w:name="_Toc438552305"/>
      <w:bookmarkStart w:id="94" w:name="_Toc438562809"/>
      <w:r>
        <w:rPr>
          <w:rFonts w:hint="eastAsia"/>
          <w:lang w:val="en-US" w:eastAsia="zh-CN"/>
        </w:rPr>
        <w:t>8  土肥水管理</w:t>
      </w:r>
      <w:bookmarkEnd w:id="81"/>
      <w:bookmarkEnd w:id="82"/>
    </w:p>
    <w:p w14:paraId="287B870B">
      <w:pPr>
        <w:pStyle w:val="106"/>
        <w:numPr>
          <w:ilvl w:val="2"/>
          <w:numId w:val="0"/>
        </w:numPr>
        <w:spacing w:before="156" w:after="156"/>
        <w:ind w:leftChars="0"/>
      </w:pPr>
      <w:r>
        <w:rPr>
          <w:rFonts w:hint="eastAsia"/>
          <w:lang w:val="en-US" w:eastAsia="zh-CN"/>
        </w:rPr>
        <w:t xml:space="preserve">8.1  </w:t>
      </w:r>
      <w:r>
        <w:rPr>
          <w:rFonts w:hint="eastAsia"/>
        </w:rPr>
        <w:t>深翻中耕</w:t>
      </w:r>
    </w:p>
    <w:p w14:paraId="25F86F0A">
      <w:pPr>
        <w:adjustRightInd/>
        <w:spacing w:line="240" w:lineRule="auto"/>
        <w:ind w:firstLine="420" w:firstLineChars="200"/>
        <w:rPr>
          <w:rFonts w:ascii="Times New Roman" w:hAnsi="Times New Roman"/>
          <w:szCs w:val="24"/>
        </w:rPr>
      </w:pPr>
      <w:r>
        <w:rPr>
          <w:rFonts w:hint="eastAsia" w:ascii="Times New Roman" w:hAnsi="Times New Roman"/>
          <w:szCs w:val="24"/>
        </w:rPr>
        <w:t>栽植前开展</w:t>
      </w:r>
      <w:r>
        <w:rPr>
          <w:rFonts w:hint="eastAsia" w:ascii="Times New Roman" w:hAnsi="Times New Roman"/>
          <w:szCs w:val="24"/>
          <w:lang w:val="en-US" w:eastAsia="zh-CN"/>
        </w:rPr>
        <w:t>1</w:t>
      </w:r>
      <w:r>
        <w:rPr>
          <w:rFonts w:hint="eastAsia" w:ascii="Times New Roman" w:hAnsi="Times New Roman"/>
          <w:szCs w:val="24"/>
        </w:rPr>
        <w:t>次全园深耕；栽后每隔</w:t>
      </w:r>
      <w:r>
        <w:rPr>
          <w:rFonts w:hint="eastAsia" w:ascii="Times New Roman" w:hAnsi="Times New Roman"/>
          <w:szCs w:val="24"/>
          <w:lang w:val="en-US" w:eastAsia="zh-CN"/>
        </w:rPr>
        <w:t>2</w:t>
      </w:r>
      <w:r>
        <w:rPr>
          <w:rFonts w:hint="eastAsia" w:ascii="Times New Roman" w:hAnsi="Times New Roman"/>
          <w:szCs w:val="24"/>
        </w:rPr>
        <w:t>年～</w:t>
      </w:r>
      <w:r>
        <w:rPr>
          <w:rFonts w:hint="eastAsia" w:ascii="Times New Roman" w:hAnsi="Times New Roman"/>
          <w:szCs w:val="24"/>
          <w:lang w:val="en-US" w:eastAsia="zh-CN"/>
        </w:rPr>
        <w:t>3</w:t>
      </w:r>
      <w:r>
        <w:rPr>
          <w:rFonts w:hint="eastAsia" w:ascii="Times New Roman" w:hAnsi="Times New Roman"/>
          <w:szCs w:val="24"/>
        </w:rPr>
        <w:t>年于秋季逐渐向外扩翻</w:t>
      </w:r>
      <w:r>
        <w:rPr>
          <w:rFonts w:hint="eastAsia" w:ascii="Times New Roman" w:hAnsi="Times New Roman"/>
          <w:szCs w:val="24"/>
          <w:lang w:val="en-US" w:eastAsia="zh-CN"/>
        </w:rPr>
        <w:t>1</w:t>
      </w:r>
      <w:r>
        <w:rPr>
          <w:rFonts w:hint="eastAsia" w:ascii="Times New Roman" w:hAnsi="Times New Roman"/>
          <w:szCs w:val="24"/>
        </w:rPr>
        <w:t>次，深度以20 cm～30 cm为宜，可结合秋施基肥进行。</w:t>
      </w:r>
    </w:p>
    <w:p w14:paraId="46C8A3C8">
      <w:pPr>
        <w:adjustRightInd/>
        <w:spacing w:line="240" w:lineRule="auto"/>
        <w:ind w:firstLine="420" w:firstLineChars="200"/>
        <w:rPr>
          <w:rFonts w:ascii="Times New Roman" w:hAnsi="Times New Roman"/>
          <w:szCs w:val="24"/>
        </w:rPr>
      </w:pPr>
      <w:r>
        <w:rPr>
          <w:rFonts w:hint="eastAsia" w:ascii="Times New Roman" w:hAnsi="Times New Roman"/>
          <w:szCs w:val="24"/>
        </w:rPr>
        <w:t>每年宜开展2次～4次除草中耕，深度为5 cm～10 cm；要注意加高树干地表附近的土层，防止积涝。灌溉后及时中耕松土。</w:t>
      </w:r>
    </w:p>
    <w:p w14:paraId="1A3FFEA2">
      <w:pPr>
        <w:pStyle w:val="106"/>
        <w:numPr>
          <w:ilvl w:val="2"/>
          <w:numId w:val="0"/>
        </w:numPr>
        <w:spacing w:before="156" w:after="156"/>
        <w:ind w:leftChars="0"/>
      </w:pPr>
      <w:r>
        <w:rPr>
          <w:rFonts w:hint="eastAsia"/>
          <w:lang w:val="en-US" w:eastAsia="zh-CN"/>
        </w:rPr>
        <w:t xml:space="preserve">8.2  </w:t>
      </w:r>
      <w:r>
        <w:rPr>
          <w:rFonts w:hint="eastAsia"/>
        </w:rPr>
        <w:t>间作</w:t>
      </w:r>
    </w:p>
    <w:p w14:paraId="24185190">
      <w:pPr>
        <w:adjustRightInd/>
        <w:spacing w:line="240" w:lineRule="auto"/>
        <w:ind w:firstLine="420" w:firstLineChars="200"/>
        <w:rPr>
          <w:rFonts w:ascii="Times New Roman" w:hAnsi="Times New Roman"/>
          <w:szCs w:val="24"/>
        </w:rPr>
      </w:pPr>
      <w:r>
        <w:rPr>
          <w:rFonts w:hint="eastAsia" w:ascii="Times New Roman" w:hAnsi="Times New Roman"/>
          <w:szCs w:val="24"/>
        </w:rPr>
        <w:t>幼树期可间作低杆、浅根系作物（如红薯、花生、豆类等），树行与间作物各留1 m左右间距。盛果期可行间生草，间作绿肥草种（如白三叶草、箭舌豌豆等）</w:t>
      </w:r>
    </w:p>
    <w:p w14:paraId="53FDCA71">
      <w:pPr>
        <w:pStyle w:val="106"/>
        <w:numPr>
          <w:ilvl w:val="2"/>
          <w:numId w:val="0"/>
        </w:numPr>
        <w:spacing w:before="156" w:after="156"/>
        <w:ind w:leftChars="0"/>
      </w:pPr>
      <w:r>
        <w:rPr>
          <w:rFonts w:hint="eastAsia"/>
          <w:lang w:val="en-US" w:eastAsia="zh-CN"/>
        </w:rPr>
        <w:t xml:space="preserve">8.3  </w:t>
      </w:r>
      <w:r>
        <w:rPr>
          <w:rFonts w:hint="eastAsia"/>
        </w:rPr>
        <w:t>施肥</w:t>
      </w:r>
    </w:p>
    <w:p w14:paraId="4A4C35AE">
      <w:pPr>
        <w:adjustRightInd/>
        <w:spacing w:line="240" w:lineRule="auto"/>
        <w:ind w:firstLine="420" w:firstLineChars="200"/>
        <w:rPr>
          <w:rFonts w:ascii="Times New Roman" w:hAnsi="Times New Roman"/>
          <w:szCs w:val="24"/>
        </w:rPr>
      </w:pPr>
      <w:r>
        <w:rPr>
          <w:rFonts w:ascii="Times New Roman" w:hAnsi="Times New Roman"/>
          <w:szCs w:val="24"/>
        </w:rPr>
        <w:t>采果后至落叶前施用基肥，核仁发育期追施</w:t>
      </w:r>
      <w:r>
        <w:rPr>
          <w:rFonts w:hint="eastAsia" w:ascii="Times New Roman" w:hAnsi="Times New Roman"/>
          <w:szCs w:val="24"/>
        </w:rPr>
        <w:t>复合</w:t>
      </w:r>
      <w:r>
        <w:rPr>
          <w:rFonts w:ascii="Times New Roman" w:hAnsi="Times New Roman"/>
          <w:szCs w:val="24"/>
        </w:rPr>
        <w:t>肥</w:t>
      </w:r>
      <w:r>
        <w:rPr>
          <w:rFonts w:hint="eastAsia" w:ascii="Times New Roman" w:hAnsi="Times New Roman"/>
          <w:szCs w:val="24"/>
        </w:rPr>
        <w:t>。</w:t>
      </w:r>
      <w:r>
        <w:rPr>
          <w:rFonts w:ascii="Times New Roman" w:hAnsi="Times New Roman"/>
          <w:szCs w:val="24"/>
        </w:rPr>
        <w:t>基肥以农家肥、有机肥为主，宜连年施用。</w:t>
      </w:r>
      <w:r>
        <w:rPr>
          <w:rFonts w:hint="eastAsia" w:ascii="Times New Roman" w:hAnsi="Times New Roman"/>
          <w:szCs w:val="24"/>
        </w:rPr>
        <w:t>追肥</w:t>
      </w:r>
      <w:r>
        <w:rPr>
          <w:rFonts w:ascii="Times New Roman" w:hAnsi="Times New Roman"/>
          <w:szCs w:val="24"/>
        </w:rPr>
        <w:t>以磷钾肥为主</w:t>
      </w:r>
      <w:r>
        <w:rPr>
          <w:rFonts w:hint="eastAsia" w:ascii="Times New Roman" w:hAnsi="Times New Roman"/>
          <w:szCs w:val="24"/>
        </w:rPr>
        <w:t>，</w:t>
      </w:r>
      <w:r>
        <w:rPr>
          <w:rFonts w:ascii="Times New Roman" w:hAnsi="Times New Roman"/>
          <w:szCs w:val="24"/>
        </w:rPr>
        <w:t>施肥量</w:t>
      </w:r>
      <w:r>
        <w:rPr>
          <w:rFonts w:hint="eastAsia" w:ascii="Times New Roman" w:hAnsi="Times New Roman"/>
          <w:szCs w:val="24"/>
        </w:rPr>
        <w:t>按照</w:t>
      </w:r>
      <w:r>
        <w:rPr>
          <w:rFonts w:ascii="Times New Roman" w:hAnsi="Times New Roman"/>
          <w:szCs w:val="24"/>
        </w:rPr>
        <w:t>NY/T</w:t>
      </w:r>
      <w:r>
        <w:rPr>
          <w:rFonts w:hint="eastAsia" w:ascii="Times New Roman" w:hAnsi="Times New Roman"/>
          <w:szCs w:val="24"/>
        </w:rPr>
        <w:t xml:space="preserve"> </w:t>
      </w:r>
      <w:r>
        <w:rPr>
          <w:rFonts w:ascii="Times New Roman" w:hAnsi="Times New Roman"/>
          <w:szCs w:val="24"/>
        </w:rPr>
        <w:t>496的规定执行。</w:t>
      </w:r>
    </w:p>
    <w:p w14:paraId="68B42BE0">
      <w:pPr>
        <w:pStyle w:val="106"/>
        <w:numPr>
          <w:ilvl w:val="2"/>
          <w:numId w:val="0"/>
        </w:numPr>
        <w:spacing w:before="156" w:after="156"/>
        <w:ind w:leftChars="0"/>
      </w:pPr>
      <w:r>
        <w:rPr>
          <w:rFonts w:hint="eastAsia"/>
          <w:lang w:val="en-US" w:eastAsia="zh-CN"/>
        </w:rPr>
        <w:t xml:space="preserve">8.4  </w:t>
      </w:r>
      <w:r>
        <w:rPr>
          <w:rFonts w:hint="eastAsia"/>
        </w:rPr>
        <w:t>排灌</w:t>
      </w:r>
    </w:p>
    <w:p w14:paraId="63041E25">
      <w:pPr>
        <w:adjustRightInd/>
        <w:spacing w:line="240" w:lineRule="auto"/>
        <w:ind w:firstLine="420" w:firstLineChars="200"/>
        <w:rPr>
          <w:rFonts w:ascii="Times New Roman" w:hAnsi="Times New Roman"/>
          <w:szCs w:val="24"/>
        </w:rPr>
      </w:pPr>
      <w:r>
        <w:rPr>
          <w:rFonts w:hint="eastAsia" w:ascii="Times New Roman" w:hAnsi="Times New Roman"/>
          <w:szCs w:val="24"/>
        </w:rPr>
        <w:t>扁桃果园应建立排灌系统，预防果园积水。每年宜灌溉2次～4次。山地或干旱瘠薄地可采用穴贮肥水技术及其它节水灌溉技术。</w:t>
      </w:r>
      <w:bookmarkEnd w:id="83"/>
      <w:bookmarkEnd w:id="84"/>
      <w:bookmarkEnd w:id="85"/>
      <w:bookmarkEnd w:id="86"/>
      <w:bookmarkEnd w:id="87"/>
      <w:bookmarkEnd w:id="88"/>
      <w:bookmarkEnd w:id="89"/>
      <w:bookmarkEnd w:id="90"/>
      <w:bookmarkEnd w:id="91"/>
      <w:bookmarkEnd w:id="92"/>
      <w:bookmarkEnd w:id="93"/>
      <w:bookmarkEnd w:id="94"/>
    </w:p>
    <w:p w14:paraId="30054F41">
      <w:pPr>
        <w:pStyle w:val="105"/>
        <w:numPr>
          <w:ilvl w:val="1"/>
          <w:numId w:val="0"/>
        </w:numPr>
        <w:spacing w:before="312" w:after="312"/>
        <w:ind w:leftChars="0"/>
        <w:rPr>
          <w:rFonts w:hint="eastAsia"/>
          <w:lang w:val="en-US" w:eastAsia="zh-CN"/>
        </w:rPr>
      </w:pPr>
      <w:bookmarkStart w:id="95" w:name="_Toc31669"/>
      <w:bookmarkStart w:id="96" w:name="_Toc16113"/>
      <w:r>
        <w:rPr>
          <w:rFonts w:hint="eastAsia"/>
          <w:lang w:val="en-US" w:eastAsia="zh-CN"/>
        </w:rPr>
        <w:t>9  病虫害防治</w:t>
      </w:r>
      <w:bookmarkEnd w:id="95"/>
      <w:bookmarkEnd w:id="96"/>
    </w:p>
    <w:p w14:paraId="56BE33F9">
      <w:pPr>
        <w:adjustRightInd/>
        <w:spacing w:line="240" w:lineRule="auto"/>
        <w:ind w:firstLine="420" w:firstLineChars="200"/>
        <w:rPr>
          <w:rFonts w:ascii="Times New Roman" w:hAnsi="Times New Roman"/>
          <w:szCs w:val="24"/>
        </w:rPr>
      </w:pPr>
      <w:bookmarkStart w:id="97" w:name="_Toc430956957"/>
      <w:r>
        <w:rPr>
          <w:rFonts w:hint="eastAsia" w:ascii="Times New Roman" w:hAnsi="Times New Roman"/>
          <w:szCs w:val="24"/>
        </w:rPr>
        <w:t>扁桃主产区虫害有桃蚜、蚧壳虫、红蜘蛛、食心虫、卷叶蛾、金龟子、天牛等，病害有：流胶病、穿孔病等。</w:t>
      </w:r>
    </w:p>
    <w:p w14:paraId="59DCBC9C">
      <w:pPr>
        <w:pStyle w:val="106"/>
        <w:numPr>
          <w:ilvl w:val="2"/>
          <w:numId w:val="0"/>
        </w:numPr>
        <w:spacing w:before="156" w:after="156"/>
        <w:ind w:leftChars="0"/>
      </w:pPr>
      <w:r>
        <w:rPr>
          <w:rFonts w:hint="eastAsia"/>
          <w:lang w:val="en-US" w:eastAsia="zh-CN"/>
        </w:rPr>
        <w:t xml:space="preserve">9.1  </w:t>
      </w:r>
      <w:r>
        <w:rPr>
          <w:rFonts w:hint="eastAsia"/>
        </w:rPr>
        <w:t>农业防治</w:t>
      </w:r>
      <w:bookmarkEnd w:id="97"/>
    </w:p>
    <w:p w14:paraId="043C8EC2">
      <w:pPr>
        <w:adjustRightInd/>
        <w:spacing w:line="240" w:lineRule="auto"/>
        <w:ind w:firstLine="420" w:firstLineChars="200"/>
        <w:rPr>
          <w:rFonts w:ascii="Times New Roman" w:hAnsi="Times New Roman"/>
          <w:szCs w:val="24"/>
        </w:rPr>
      </w:pPr>
      <w:r>
        <w:rPr>
          <w:rFonts w:hint="eastAsia" w:ascii="Times New Roman" w:hAnsi="Times New Roman"/>
          <w:szCs w:val="24"/>
        </w:rPr>
        <w:t>结合扁桃树整形修剪，清除病虫残体（果、叶、枝等）及枯枝、落叶、干翘皮、僵果及杂物。</w:t>
      </w:r>
    </w:p>
    <w:p w14:paraId="223D530A">
      <w:pPr>
        <w:pStyle w:val="106"/>
        <w:numPr>
          <w:ilvl w:val="2"/>
          <w:numId w:val="0"/>
        </w:numPr>
        <w:spacing w:before="156" w:after="156"/>
        <w:ind w:leftChars="0"/>
      </w:pPr>
      <w:bookmarkStart w:id="98" w:name="_Toc430956958"/>
      <w:r>
        <w:rPr>
          <w:rFonts w:hint="eastAsia"/>
          <w:lang w:val="en-US" w:eastAsia="zh-CN"/>
        </w:rPr>
        <w:t xml:space="preserve">9.2  </w:t>
      </w:r>
      <w:r>
        <w:rPr>
          <w:rFonts w:hint="eastAsia"/>
        </w:rPr>
        <w:t>物理防治</w:t>
      </w:r>
      <w:bookmarkEnd w:id="98"/>
    </w:p>
    <w:p w14:paraId="25A760B4">
      <w:pPr>
        <w:adjustRightInd/>
        <w:spacing w:line="240" w:lineRule="auto"/>
        <w:ind w:firstLine="420" w:firstLineChars="200"/>
        <w:rPr>
          <w:rFonts w:ascii="Times New Roman" w:hAnsi="Times New Roman"/>
          <w:szCs w:val="24"/>
        </w:rPr>
      </w:pPr>
      <w:r>
        <w:rPr>
          <w:rFonts w:hint="eastAsia" w:ascii="Times New Roman" w:hAnsi="Times New Roman"/>
          <w:szCs w:val="24"/>
        </w:rPr>
        <w:t>悬挂粘虫板</w:t>
      </w:r>
      <w:r>
        <w:rPr>
          <w:rFonts w:ascii="Times New Roman" w:hAnsi="Times New Roman"/>
          <w:szCs w:val="24"/>
        </w:rPr>
        <w:t>诱杀小型</w:t>
      </w:r>
      <w:r>
        <w:rPr>
          <w:rFonts w:hint="eastAsia" w:ascii="Times New Roman" w:hAnsi="Times New Roman"/>
          <w:szCs w:val="24"/>
        </w:rPr>
        <w:t>害</w:t>
      </w:r>
      <w:r>
        <w:rPr>
          <w:rFonts w:ascii="Times New Roman" w:hAnsi="Times New Roman"/>
          <w:szCs w:val="24"/>
        </w:rPr>
        <w:t>虫</w:t>
      </w:r>
      <w:r>
        <w:rPr>
          <w:rFonts w:hint="eastAsia" w:ascii="Times New Roman" w:hAnsi="Times New Roman"/>
          <w:szCs w:val="24"/>
        </w:rPr>
        <w:t>，如黄色板</w:t>
      </w:r>
      <w:r>
        <w:rPr>
          <w:rFonts w:ascii="Times New Roman" w:hAnsi="Times New Roman"/>
          <w:szCs w:val="24"/>
        </w:rPr>
        <w:t>诱杀蚜虫、叶蝉等，蓝色板诱杀</w:t>
      </w:r>
      <w:r>
        <w:rPr>
          <w:rFonts w:hint="eastAsia" w:ascii="Times New Roman" w:hAnsi="Times New Roman"/>
          <w:szCs w:val="24"/>
        </w:rPr>
        <w:t>蓟马等。悬挂糖醋酒液和黑光灯诱杀</w:t>
      </w:r>
      <w:r>
        <w:rPr>
          <w:rFonts w:ascii="Times New Roman" w:hAnsi="Times New Roman"/>
          <w:szCs w:val="24"/>
        </w:rPr>
        <w:t>金龟子</w:t>
      </w:r>
      <w:r>
        <w:rPr>
          <w:rFonts w:hint="eastAsia" w:ascii="Times New Roman" w:hAnsi="Times New Roman"/>
          <w:szCs w:val="24"/>
        </w:rPr>
        <w:t>和蛾类等害虫。</w:t>
      </w:r>
    </w:p>
    <w:p w14:paraId="2135AA77">
      <w:pPr>
        <w:pStyle w:val="106"/>
        <w:numPr>
          <w:ilvl w:val="2"/>
          <w:numId w:val="0"/>
        </w:numPr>
        <w:spacing w:before="156" w:after="156"/>
        <w:ind w:leftChars="0"/>
      </w:pPr>
      <w:bookmarkStart w:id="99" w:name="_Toc430956960"/>
      <w:r>
        <w:rPr>
          <w:rFonts w:hint="eastAsia"/>
          <w:lang w:val="en-US" w:eastAsia="zh-CN"/>
        </w:rPr>
        <w:t xml:space="preserve">9.3  </w:t>
      </w:r>
      <w:r>
        <w:rPr>
          <w:rFonts w:hint="eastAsia"/>
        </w:rPr>
        <w:t>生物防治</w:t>
      </w:r>
    </w:p>
    <w:p w14:paraId="22D95F3D">
      <w:pPr>
        <w:adjustRightInd/>
        <w:spacing w:line="240" w:lineRule="auto"/>
        <w:ind w:firstLine="420" w:firstLineChars="200"/>
        <w:rPr>
          <w:rFonts w:ascii="Times New Roman" w:hAnsi="Times New Roman"/>
          <w:szCs w:val="24"/>
        </w:rPr>
      </w:pPr>
      <w:r>
        <w:rPr>
          <w:rFonts w:hint="eastAsia" w:ascii="Times New Roman" w:hAnsi="Times New Roman"/>
          <w:szCs w:val="24"/>
        </w:rPr>
        <w:t>悬挂赤眼蜂、瓢虫卵。通过制作诱捕器，利用昆虫性信息素，进行害虫（食心虫等）的监测和诱杀。利用生物农药苦参碱、烟碱等，防治桃蚜等害虫。</w:t>
      </w:r>
    </w:p>
    <w:p w14:paraId="08276FFF">
      <w:pPr>
        <w:pStyle w:val="106"/>
        <w:numPr>
          <w:ilvl w:val="2"/>
          <w:numId w:val="0"/>
        </w:numPr>
        <w:spacing w:before="156" w:after="156"/>
        <w:ind w:leftChars="0"/>
      </w:pPr>
      <w:r>
        <w:rPr>
          <w:rFonts w:hint="eastAsia"/>
          <w:lang w:val="en-US" w:eastAsia="zh-CN"/>
        </w:rPr>
        <w:t xml:space="preserve">9.4  </w:t>
      </w:r>
      <w:r>
        <w:rPr>
          <w:rFonts w:hint="eastAsia"/>
        </w:rPr>
        <w:t>化学防治</w:t>
      </w:r>
      <w:bookmarkEnd w:id="99"/>
    </w:p>
    <w:p w14:paraId="6C002C07">
      <w:pPr>
        <w:adjustRightInd/>
        <w:spacing w:line="240" w:lineRule="auto"/>
        <w:ind w:firstLine="420" w:firstLineChars="200"/>
        <w:rPr>
          <w:rFonts w:ascii="Times New Roman" w:hAnsi="Times New Roman"/>
          <w:szCs w:val="24"/>
        </w:rPr>
      </w:pPr>
      <w:r>
        <w:rPr>
          <w:rFonts w:hint="eastAsia" w:ascii="Times New Roman" w:hAnsi="Times New Roman"/>
          <w:szCs w:val="24"/>
        </w:rPr>
        <w:t>扁桃主要病虫害防治按照DB</w:t>
      </w:r>
      <w:r>
        <w:rPr>
          <w:rFonts w:ascii="Times New Roman" w:hAnsi="Times New Roman"/>
          <w:szCs w:val="24"/>
        </w:rPr>
        <w:t>/T</w:t>
      </w:r>
      <w:r>
        <w:rPr>
          <w:rFonts w:hint="eastAsia" w:ascii="Times New Roman" w:hAnsi="Times New Roman"/>
          <w:szCs w:val="24"/>
        </w:rPr>
        <w:t xml:space="preserve"> 1093-2015附录B的规定执行。</w:t>
      </w:r>
    </w:p>
    <w:p w14:paraId="5DA5F0B1">
      <w:pPr>
        <w:pStyle w:val="105"/>
        <w:numPr>
          <w:ilvl w:val="1"/>
          <w:numId w:val="0"/>
        </w:numPr>
        <w:spacing w:before="312" w:after="312"/>
        <w:ind w:leftChars="0"/>
        <w:rPr>
          <w:rFonts w:hint="eastAsia"/>
          <w:lang w:val="en-US" w:eastAsia="zh-CN"/>
        </w:rPr>
      </w:pPr>
      <w:bookmarkStart w:id="100" w:name="_Toc430957906"/>
      <w:bookmarkStart w:id="101" w:name="_Toc427874851"/>
      <w:bookmarkStart w:id="102" w:name="_Toc427879254"/>
      <w:bookmarkStart w:id="103" w:name="_Toc435193989"/>
      <w:bookmarkStart w:id="104" w:name="_Toc438476913"/>
      <w:bookmarkStart w:id="105" w:name="_Toc427877047"/>
      <w:bookmarkStart w:id="106" w:name="_Toc430956961"/>
      <w:bookmarkStart w:id="107" w:name="_Toc430957931"/>
      <w:bookmarkStart w:id="108" w:name="_Toc438552308"/>
      <w:bookmarkStart w:id="109" w:name="_Toc430957006"/>
      <w:bookmarkStart w:id="110" w:name="_Toc11298"/>
      <w:bookmarkStart w:id="111" w:name="_Toc438649365"/>
      <w:bookmarkStart w:id="112" w:name="_Toc18334"/>
      <w:bookmarkStart w:id="113" w:name="_Toc438562812"/>
      <w:r>
        <w:rPr>
          <w:rFonts w:hint="eastAsia"/>
          <w:lang w:val="en-US" w:eastAsia="zh-CN"/>
        </w:rPr>
        <w:t>10  果实采收及采</w:t>
      </w:r>
      <w:bookmarkEnd w:id="100"/>
      <w:bookmarkEnd w:id="101"/>
      <w:bookmarkEnd w:id="102"/>
      <w:bookmarkEnd w:id="103"/>
      <w:bookmarkEnd w:id="104"/>
      <w:bookmarkEnd w:id="105"/>
      <w:bookmarkEnd w:id="106"/>
      <w:bookmarkEnd w:id="107"/>
      <w:bookmarkEnd w:id="108"/>
      <w:bookmarkEnd w:id="109"/>
      <w:r>
        <w:rPr>
          <w:rFonts w:hint="eastAsia"/>
          <w:lang w:val="en-US" w:eastAsia="zh-CN"/>
        </w:rPr>
        <w:t>后处理</w:t>
      </w:r>
      <w:bookmarkEnd w:id="110"/>
      <w:bookmarkEnd w:id="111"/>
      <w:bookmarkEnd w:id="112"/>
      <w:bookmarkEnd w:id="113"/>
    </w:p>
    <w:p w14:paraId="420FA2B9">
      <w:pPr>
        <w:pStyle w:val="106"/>
        <w:numPr>
          <w:ilvl w:val="2"/>
          <w:numId w:val="0"/>
        </w:numPr>
        <w:spacing w:before="156" w:after="156"/>
        <w:ind w:leftChars="0"/>
      </w:pPr>
      <w:bookmarkStart w:id="114" w:name="_Toc430956962"/>
      <w:r>
        <w:rPr>
          <w:rFonts w:hint="eastAsia"/>
          <w:lang w:val="en-US" w:eastAsia="zh-CN"/>
        </w:rPr>
        <w:t xml:space="preserve">10.1  </w:t>
      </w:r>
      <w:r>
        <w:rPr>
          <w:rFonts w:hint="eastAsia"/>
        </w:rPr>
        <w:t>绿果采收及采后处理</w:t>
      </w:r>
    </w:p>
    <w:p w14:paraId="6CE266AD">
      <w:pPr>
        <w:pStyle w:val="66"/>
        <w:numPr>
          <w:ilvl w:val="3"/>
          <w:numId w:val="0"/>
        </w:numPr>
        <w:spacing w:before="156" w:after="156"/>
      </w:pPr>
      <w:r>
        <w:rPr>
          <w:rFonts w:hint="eastAsia"/>
          <w:lang w:val="en-US" w:eastAsia="zh-CN"/>
        </w:rPr>
        <w:t xml:space="preserve">10.1.1  </w:t>
      </w:r>
      <w:r>
        <w:rPr>
          <w:rFonts w:hint="eastAsia"/>
        </w:rPr>
        <w:t>采收</w:t>
      </w:r>
    </w:p>
    <w:p w14:paraId="4489E206">
      <w:pPr>
        <w:adjustRightInd/>
        <w:spacing w:line="240" w:lineRule="auto"/>
        <w:rPr>
          <w:rFonts w:ascii="Times New Roman" w:hAnsi="Times New Roman"/>
          <w:color w:val="000000"/>
          <w:szCs w:val="24"/>
        </w:rPr>
      </w:pPr>
      <w:r>
        <w:rPr>
          <w:rFonts w:hint="eastAsia" w:ascii="Times New Roman" w:hAnsi="Times New Roman"/>
          <w:color w:val="000000"/>
          <w:szCs w:val="24"/>
        </w:rPr>
        <w:t xml:space="preserve">    在果实核壳硬壳后且核仁具备品种原有的甜香风味后，分品种分批次采收。一般当果实外果皮由青绿色渐转褐黄色、褐红色至外果皮自然开裂前，为绿果采收最佳期。通过人工采摘进行采收。</w:t>
      </w:r>
    </w:p>
    <w:p w14:paraId="78B0DEA9">
      <w:pPr>
        <w:pStyle w:val="66"/>
        <w:numPr>
          <w:ilvl w:val="3"/>
          <w:numId w:val="0"/>
        </w:numPr>
        <w:spacing w:before="156" w:after="156"/>
      </w:pPr>
      <w:r>
        <w:rPr>
          <w:rFonts w:hint="eastAsia"/>
          <w:lang w:val="en-US" w:eastAsia="zh-CN"/>
        </w:rPr>
        <w:t xml:space="preserve">10.1.2  </w:t>
      </w:r>
      <w:r>
        <w:rPr>
          <w:rFonts w:hint="eastAsia"/>
        </w:rPr>
        <w:t>贮藏保鲜</w:t>
      </w:r>
    </w:p>
    <w:p w14:paraId="345AFB79">
      <w:pPr>
        <w:adjustRightInd/>
        <w:spacing w:line="240" w:lineRule="auto"/>
        <w:rPr>
          <w:rFonts w:ascii="Times New Roman" w:hAnsi="Times New Roman"/>
          <w:color w:val="000000"/>
          <w:szCs w:val="24"/>
        </w:rPr>
      </w:pPr>
      <w:r>
        <w:rPr>
          <w:rFonts w:hint="eastAsia" w:ascii="Times New Roman" w:hAnsi="Times New Roman"/>
          <w:color w:val="000000"/>
          <w:szCs w:val="24"/>
        </w:rPr>
        <w:t xml:space="preserve">    室内常温下可存放3 d～5 d，果品恒温常规冷库贮藏下，可延长果实销售保鲜期</w:t>
      </w:r>
      <w:r>
        <w:rPr>
          <w:rFonts w:ascii="Times New Roman" w:hAnsi="Times New Roman"/>
          <w:color w:val="000000"/>
          <w:szCs w:val="24"/>
        </w:rPr>
        <w:t>15</w:t>
      </w:r>
      <w:r>
        <w:rPr>
          <w:rFonts w:hint="eastAsia" w:ascii="Times New Roman" w:hAnsi="Times New Roman"/>
          <w:color w:val="000000"/>
          <w:szCs w:val="24"/>
        </w:rPr>
        <w:t xml:space="preserve"> d～</w:t>
      </w:r>
      <w:r>
        <w:rPr>
          <w:rFonts w:ascii="Times New Roman" w:hAnsi="Times New Roman"/>
          <w:color w:val="000000"/>
          <w:szCs w:val="24"/>
        </w:rPr>
        <w:t>20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d。</w:t>
      </w:r>
    </w:p>
    <w:p w14:paraId="216E1106">
      <w:pPr>
        <w:pStyle w:val="106"/>
        <w:numPr>
          <w:ilvl w:val="2"/>
          <w:numId w:val="0"/>
        </w:numPr>
        <w:spacing w:before="156" w:after="156"/>
        <w:ind w:leftChars="0"/>
      </w:pPr>
      <w:r>
        <w:rPr>
          <w:rFonts w:hint="eastAsia"/>
          <w:lang w:val="en-US" w:eastAsia="zh-CN"/>
        </w:rPr>
        <w:t xml:space="preserve">10.2  </w:t>
      </w:r>
      <w:r>
        <w:rPr>
          <w:rFonts w:hint="eastAsia"/>
        </w:rPr>
        <w:t>坚果采收</w:t>
      </w:r>
      <w:bookmarkEnd w:id="114"/>
      <w:r>
        <w:rPr>
          <w:rFonts w:hint="eastAsia"/>
        </w:rPr>
        <w:t>及采后处理</w:t>
      </w:r>
    </w:p>
    <w:p w14:paraId="168FD246">
      <w:pPr>
        <w:pStyle w:val="66"/>
        <w:numPr>
          <w:ilvl w:val="3"/>
          <w:numId w:val="0"/>
        </w:numPr>
        <w:spacing w:before="156" w:after="156"/>
      </w:pPr>
      <w:r>
        <w:rPr>
          <w:rFonts w:hint="eastAsia"/>
          <w:lang w:val="en-US" w:eastAsia="zh-CN"/>
        </w:rPr>
        <w:t xml:space="preserve">10.2.1  </w:t>
      </w:r>
      <w:r>
        <w:rPr>
          <w:rFonts w:hint="eastAsia"/>
        </w:rPr>
        <w:t>采收</w:t>
      </w:r>
    </w:p>
    <w:p w14:paraId="268278A9">
      <w:pPr>
        <w:adjustRightInd/>
        <w:spacing w:line="240" w:lineRule="auto"/>
        <w:ind w:firstLine="420" w:firstLineChars="200"/>
        <w:rPr>
          <w:rFonts w:ascii="Times New Roman" w:hAnsi="Times New Roman"/>
          <w:color w:val="000000"/>
          <w:szCs w:val="24"/>
        </w:rPr>
      </w:pPr>
      <w:r>
        <w:rPr>
          <w:rFonts w:hint="eastAsia" w:ascii="Times New Roman" w:hAnsi="Times New Roman"/>
          <w:color w:val="000000"/>
          <w:szCs w:val="24"/>
        </w:rPr>
        <w:t>在果实充分成熟时，分品种分批次采收。一般当内膛果实的外果皮变黄绿色、黄红色，外果皮自然开裂时即可采收。通过振动或摇晃树体使果实掉落进行采收，可减少因人工敲打造成的枝条及果枝损伤。</w:t>
      </w:r>
    </w:p>
    <w:p w14:paraId="765BABD4">
      <w:pPr>
        <w:pStyle w:val="66"/>
        <w:numPr>
          <w:ilvl w:val="3"/>
          <w:numId w:val="0"/>
        </w:numPr>
        <w:spacing w:before="156" w:after="156"/>
      </w:pPr>
      <w:r>
        <w:rPr>
          <w:rFonts w:hint="eastAsia"/>
          <w:lang w:val="en-US" w:eastAsia="zh-CN"/>
        </w:rPr>
        <w:t xml:space="preserve">10.2.2  </w:t>
      </w:r>
      <w:r>
        <w:rPr>
          <w:rFonts w:hint="eastAsia"/>
        </w:rPr>
        <w:t>剥皮晾晒</w:t>
      </w:r>
    </w:p>
    <w:p w14:paraId="35DBEC50">
      <w:pPr>
        <w:adjustRightInd/>
        <w:spacing w:line="240" w:lineRule="auto"/>
        <w:ind w:left="210" w:leftChars="100" w:firstLine="210" w:firstLineChars="100"/>
        <w:rPr>
          <w:rFonts w:ascii="Times New Roman" w:hAnsi="Times New Roman"/>
          <w:color w:val="000000"/>
          <w:szCs w:val="24"/>
        </w:rPr>
      </w:pPr>
      <w:r>
        <w:rPr>
          <w:rFonts w:hint="eastAsia" w:ascii="Times New Roman" w:hAnsi="Times New Roman"/>
          <w:color w:val="000000"/>
          <w:szCs w:val="24"/>
        </w:rPr>
        <w:t xml:space="preserve">采收后，应立即剥除外果皮，并及时晾晒。将扁桃坚果在晴天曝晒4 d～5 d，核仁含水量15 </w:t>
      </w:r>
      <w:r>
        <w:rPr>
          <w:rFonts w:ascii="Times New Roman" w:hAnsi="Times New Roman"/>
          <w:color w:val="000000"/>
          <w:szCs w:val="24"/>
        </w:rPr>
        <w:t>%</w:t>
      </w:r>
      <w:r>
        <w:rPr>
          <w:rFonts w:hint="eastAsia" w:ascii="Times New Roman" w:hAnsi="Times New Roman"/>
          <w:color w:val="000000"/>
          <w:szCs w:val="24"/>
        </w:rPr>
        <w:t>～</w:t>
      </w:r>
    </w:p>
    <w:p w14:paraId="51057C1F">
      <w:pPr>
        <w:adjustRightInd/>
        <w:spacing w:line="240" w:lineRule="auto"/>
        <w:rPr>
          <w:rFonts w:ascii="Times New Roman" w:hAnsi="Times New Roman"/>
          <w:color w:val="000000"/>
          <w:szCs w:val="24"/>
        </w:rPr>
      </w:pPr>
      <w:r>
        <w:rPr>
          <w:rFonts w:hint="eastAsia" w:ascii="Times New Roman" w:hAnsi="Times New Roman"/>
          <w:color w:val="000000"/>
          <w:szCs w:val="24"/>
        </w:rPr>
        <w:t xml:space="preserve">20 </w:t>
      </w:r>
      <w:r>
        <w:rPr>
          <w:rFonts w:ascii="Times New Roman" w:hAnsi="Times New Roman"/>
          <w:color w:val="000000"/>
          <w:szCs w:val="24"/>
        </w:rPr>
        <w:t>%</w:t>
      </w:r>
      <w:r>
        <w:rPr>
          <w:rFonts w:hint="eastAsia" w:ascii="Times New Roman" w:hAnsi="Times New Roman"/>
          <w:color w:val="000000"/>
          <w:szCs w:val="24"/>
        </w:rPr>
        <w:t xml:space="preserve">即可。如遇连阴雨天，应使用可抽风排气的新式智能烘箱或烘房及时烘干，温度设置55 </w:t>
      </w:r>
      <w:r>
        <w:rPr>
          <w:rFonts w:hint="eastAsia" w:ascii="Times New Roman" w:hAnsi="宋体" w:cs="宋体"/>
          <w:color w:val="000000"/>
          <w:szCs w:val="24"/>
        </w:rPr>
        <w:t>℃</w:t>
      </w:r>
      <w:r>
        <w:rPr>
          <w:rFonts w:hint="eastAsia" w:ascii="Times New Roman" w:hAnsi="Times New Roman"/>
          <w:color w:val="000000"/>
          <w:szCs w:val="24"/>
        </w:rPr>
        <w:t>～60</w:t>
      </w:r>
      <w:r>
        <w:rPr>
          <w:rFonts w:ascii="Times New Roman" w:hAnsi="Times New Roman"/>
          <w:color w:val="000000"/>
          <w:szCs w:val="24"/>
        </w:rPr>
        <w:t xml:space="preserve"> </w:t>
      </w:r>
      <w:r>
        <w:rPr>
          <w:rFonts w:hint="eastAsia" w:ascii="Times New Roman" w:hAnsi="宋体" w:cs="宋体"/>
          <w:color w:val="000000"/>
          <w:szCs w:val="24"/>
        </w:rPr>
        <w:t>℃</w:t>
      </w:r>
      <w:r>
        <w:rPr>
          <w:rFonts w:hint="eastAsia" w:ascii="Times New Roman" w:hAnsi="Times New Roman"/>
          <w:color w:val="000000"/>
          <w:szCs w:val="24"/>
        </w:rPr>
        <w:t>，时间设置15</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h～20</w:t>
      </w:r>
      <w:r>
        <w:rPr>
          <w:rFonts w:hint="eastAsia" w:ascii="Times New Roman" w:hAnsi="Times New Roman"/>
          <w:color w:val="000000"/>
          <w:szCs w:val="24"/>
          <w:lang w:val="en-US" w:eastAsia="zh-CN"/>
        </w:rPr>
        <w:t xml:space="preserve"> </w:t>
      </w:r>
      <w:r>
        <w:rPr>
          <w:rFonts w:hint="eastAsia" w:ascii="Times New Roman" w:hAnsi="Times New Roman"/>
          <w:color w:val="000000"/>
          <w:szCs w:val="24"/>
        </w:rPr>
        <w:t>h，烘干坚果的单层厚度应＜5 cm。</w:t>
      </w:r>
    </w:p>
    <w:p w14:paraId="5A77A0E7">
      <w:pPr>
        <w:pStyle w:val="66"/>
        <w:numPr>
          <w:ilvl w:val="3"/>
          <w:numId w:val="0"/>
        </w:numPr>
        <w:spacing w:before="156" w:after="156"/>
      </w:pPr>
      <w:r>
        <w:rPr>
          <w:rFonts w:hint="eastAsia"/>
          <w:lang w:val="en-US" w:eastAsia="zh-CN"/>
        </w:rPr>
        <w:t xml:space="preserve">10.2.3  </w:t>
      </w:r>
      <w:r>
        <w:rPr>
          <w:rFonts w:hint="eastAsia"/>
        </w:rPr>
        <w:t>破壳取仁</w:t>
      </w:r>
    </w:p>
    <w:p w14:paraId="3A64B07C">
      <w:pPr>
        <w:adjustRightInd/>
        <w:spacing w:line="240" w:lineRule="auto"/>
        <w:ind w:firstLine="420" w:firstLineChars="200"/>
        <w:rPr>
          <w:rFonts w:ascii="Times New Roman" w:hAnsi="Times New Roman"/>
          <w:color w:val="000000"/>
          <w:szCs w:val="24"/>
        </w:rPr>
      </w:pPr>
      <w:r>
        <w:rPr>
          <w:rFonts w:hint="eastAsia" w:ascii="Times New Roman" w:hAnsi="Times New Roman"/>
          <w:szCs w:val="24"/>
        </w:rPr>
        <w:t>薄壳、软壳品种可采用人工破壳取仁，厚壳品种可采用机械或人工破壳取仁。用破壳机破壳，需筛选坚果后，分级</w:t>
      </w:r>
      <w:r>
        <w:rPr>
          <w:rFonts w:hint="eastAsia" w:ascii="Times New Roman" w:hAnsi="Times New Roman"/>
          <w:color w:val="000000"/>
          <w:szCs w:val="24"/>
        </w:rPr>
        <w:t>分批进行破壳。</w:t>
      </w:r>
    </w:p>
    <w:p w14:paraId="43D35479">
      <w:pPr>
        <w:pStyle w:val="66"/>
        <w:numPr>
          <w:ilvl w:val="3"/>
          <w:numId w:val="0"/>
        </w:numPr>
        <w:spacing w:before="156" w:after="156"/>
      </w:pPr>
      <w:bookmarkStart w:id="115" w:name="_Toc430956966"/>
      <w:r>
        <w:rPr>
          <w:rFonts w:hint="eastAsia"/>
          <w:lang w:val="en-US" w:eastAsia="zh-CN"/>
        </w:rPr>
        <w:t xml:space="preserve">10.2.4  </w:t>
      </w:r>
      <w:r>
        <w:rPr>
          <w:rFonts w:hint="eastAsia"/>
        </w:rPr>
        <w:t>贮藏</w:t>
      </w:r>
      <w:bookmarkEnd w:id="115"/>
    </w:p>
    <w:p w14:paraId="1D5C6E1E">
      <w:pPr>
        <w:adjustRightInd/>
        <w:spacing w:line="240" w:lineRule="auto"/>
        <w:ind w:firstLine="420" w:firstLineChars="200"/>
        <w:rPr>
          <w:rFonts w:ascii="Times New Roman" w:hAnsi="Times New Roman"/>
          <w:szCs w:val="24"/>
        </w:rPr>
      </w:pPr>
      <w:r>
        <w:rPr>
          <w:rFonts w:hint="eastAsia" w:ascii="Times New Roman" w:hAnsi="Times New Roman"/>
          <w:color w:val="000000"/>
          <w:szCs w:val="24"/>
        </w:rPr>
        <w:t>于干燥通风、遮荫且无污染处贮藏。贮藏中应定期检查，发现霉烂及时处理，并注意预防鼠害、鸟害、虫害等。跨年度贮藏，</w:t>
      </w:r>
      <w:r>
        <w:rPr>
          <w:rFonts w:hint="eastAsia" w:ascii="Times New Roman" w:hAnsi="Times New Roman"/>
          <w:szCs w:val="24"/>
        </w:rPr>
        <w:t>注意预防虫害，于每年夏季曝晒1次即可。</w:t>
      </w:r>
    </w:p>
    <w:p w14:paraId="7DF9254C">
      <w:pPr>
        <w:pStyle w:val="105"/>
        <w:numPr>
          <w:ilvl w:val="1"/>
          <w:numId w:val="0"/>
        </w:numPr>
        <w:spacing w:before="312" w:after="312"/>
        <w:ind w:leftChars="0"/>
      </w:pPr>
      <w:bookmarkStart w:id="116" w:name="_Toc14019"/>
      <w:bookmarkStart w:id="117" w:name="_Toc10819"/>
      <w:r>
        <w:rPr>
          <w:rFonts w:hint="eastAsia"/>
          <w:lang w:val="en-US" w:eastAsia="zh-CN"/>
        </w:rPr>
        <w:t xml:space="preserve">11  </w:t>
      </w:r>
      <w:r>
        <w:rPr>
          <w:rFonts w:hint="eastAsia"/>
        </w:rPr>
        <w:t>生产档案</w:t>
      </w:r>
      <w:bookmarkEnd w:id="116"/>
      <w:bookmarkEnd w:id="117"/>
    </w:p>
    <w:p w14:paraId="5A18E1D9">
      <w:pPr>
        <w:adjustRightInd/>
        <w:spacing w:line="240" w:lineRule="auto"/>
        <w:ind w:firstLine="420" w:firstLineChars="200"/>
        <w:rPr>
          <w:rFonts w:ascii="Times New Roman" w:hAnsi="Times New Roman"/>
          <w:szCs w:val="24"/>
        </w:rPr>
      </w:pPr>
      <w:r>
        <w:rPr>
          <w:rFonts w:hint="eastAsia" w:ascii="Times New Roman" w:hAnsi="Times New Roman"/>
          <w:szCs w:val="24"/>
        </w:rPr>
        <w:t>建立扁桃果园农事生产档案，记录物候期、果园生产环节所采用的具体措施。扁桃果园生产档案见附录B。</w:t>
      </w:r>
    </w:p>
    <w:p w14:paraId="079D2ACF">
      <w:pPr>
        <w:adjustRightInd/>
        <w:spacing w:line="240" w:lineRule="auto"/>
        <w:ind w:firstLine="420" w:firstLineChars="200"/>
        <w:rPr>
          <w:rFonts w:ascii="Times New Roman" w:hAnsi="Times New Roman"/>
          <w:szCs w:val="24"/>
        </w:rPr>
      </w:pPr>
    </w:p>
    <w:p w14:paraId="33800D09">
      <w:pPr>
        <w:adjustRightInd/>
        <w:spacing w:line="240" w:lineRule="auto"/>
        <w:ind w:firstLine="420" w:firstLineChars="200"/>
        <w:rPr>
          <w:rFonts w:ascii="Times New Roman" w:hAnsi="Times New Roman"/>
          <w:szCs w:val="24"/>
        </w:rPr>
      </w:pPr>
    </w:p>
    <w:p w14:paraId="5280D0D5">
      <w:pPr>
        <w:adjustRightInd/>
        <w:spacing w:line="240" w:lineRule="auto"/>
        <w:ind w:firstLine="420" w:firstLineChars="200"/>
        <w:rPr>
          <w:rFonts w:ascii="Times New Roman" w:hAnsi="Times New Roman"/>
          <w:szCs w:val="24"/>
        </w:rPr>
      </w:pPr>
    </w:p>
    <w:p w14:paraId="32D86EEB">
      <w:pPr>
        <w:adjustRightInd/>
        <w:spacing w:line="240" w:lineRule="auto"/>
        <w:ind w:firstLine="420" w:firstLineChars="200"/>
        <w:rPr>
          <w:rFonts w:ascii="Times New Roman" w:hAnsi="Times New Roman"/>
          <w:szCs w:val="24"/>
        </w:rPr>
      </w:pPr>
    </w:p>
    <w:p w14:paraId="34240AA8">
      <w:pPr>
        <w:adjustRightInd/>
        <w:spacing w:line="240" w:lineRule="auto"/>
        <w:ind w:firstLine="420" w:firstLineChars="200"/>
        <w:rPr>
          <w:rFonts w:ascii="Times New Roman" w:hAnsi="Times New Roman"/>
          <w:szCs w:val="24"/>
        </w:rPr>
      </w:pPr>
    </w:p>
    <w:p w14:paraId="65B9AE57">
      <w:pPr>
        <w:adjustRightInd/>
        <w:spacing w:line="240" w:lineRule="auto"/>
        <w:ind w:firstLine="420" w:firstLineChars="200"/>
        <w:rPr>
          <w:rFonts w:ascii="Times New Roman" w:hAnsi="Times New Roman"/>
          <w:szCs w:val="24"/>
        </w:rPr>
      </w:pPr>
    </w:p>
    <w:p w14:paraId="1F621B3F">
      <w:pPr>
        <w:adjustRightInd/>
        <w:spacing w:line="240" w:lineRule="auto"/>
        <w:ind w:firstLine="420" w:firstLineChars="200"/>
        <w:rPr>
          <w:rFonts w:ascii="Times New Roman" w:hAnsi="Times New Roman"/>
          <w:szCs w:val="24"/>
        </w:rPr>
      </w:pPr>
    </w:p>
    <w:p w14:paraId="11BBF8FC">
      <w:pPr>
        <w:adjustRightInd/>
        <w:spacing w:line="240" w:lineRule="auto"/>
        <w:ind w:firstLine="420" w:firstLineChars="200"/>
        <w:rPr>
          <w:rFonts w:ascii="Times New Roman" w:hAnsi="Times New Roman"/>
          <w:szCs w:val="24"/>
        </w:rPr>
      </w:pPr>
    </w:p>
    <w:p w14:paraId="734B9EC1">
      <w:pPr>
        <w:adjustRightInd/>
        <w:spacing w:line="240" w:lineRule="auto"/>
        <w:ind w:firstLine="420" w:firstLineChars="200"/>
        <w:rPr>
          <w:rFonts w:ascii="Times New Roman" w:hAnsi="Times New Roman"/>
          <w:szCs w:val="24"/>
        </w:rPr>
      </w:pPr>
    </w:p>
    <w:p w14:paraId="37164FB2">
      <w:pPr>
        <w:adjustRightInd/>
        <w:spacing w:line="240" w:lineRule="auto"/>
        <w:ind w:firstLine="420" w:firstLineChars="200"/>
        <w:rPr>
          <w:rFonts w:ascii="Times New Roman" w:hAnsi="Times New Roman"/>
          <w:szCs w:val="24"/>
        </w:rPr>
      </w:pPr>
    </w:p>
    <w:p w14:paraId="6DFC239F">
      <w:pPr>
        <w:adjustRightInd/>
        <w:spacing w:line="240" w:lineRule="auto"/>
        <w:ind w:firstLine="420" w:firstLineChars="200"/>
        <w:rPr>
          <w:rFonts w:ascii="Times New Roman" w:hAnsi="Times New Roman"/>
          <w:szCs w:val="24"/>
        </w:rPr>
      </w:pPr>
    </w:p>
    <w:p w14:paraId="7CEF814B">
      <w:pPr>
        <w:adjustRightInd/>
        <w:spacing w:line="240" w:lineRule="auto"/>
        <w:ind w:firstLine="420" w:firstLineChars="200"/>
        <w:rPr>
          <w:rFonts w:ascii="Times New Roman" w:hAnsi="Times New Roman"/>
          <w:szCs w:val="24"/>
        </w:rPr>
      </w:pPr>
    </w:p>
    <w:p w14:paraId="0B40283D">
      <w:pPr>
        <w:adjustRightInd/>
        <w:spacing w:line="240" w:lineRule="auto"/>
        <w:ind w:firstLine="420" w:firstLineChars="200"/>
        <w:rPr>
          <w:rFonts w:ascii="Times New Roman" w:hAnsi="Times New Roman"/>
          <w:szCs w:val="24"/>
        </w:rPr>
      </w:pPr>
    </w:p>
    <w:p w14:paraId="375467BB">
      <w:pPr>
        <w:adjustRightInd/>
        <w:spacing w:line="240" w:lineRule="auto"/>
        <w:ind w:firstLine="420" w:firstLineChars="200"/>
        <w:rPr>
          <w:rFonts w:ascii="Times New Roman" w:hAnsi="Times New Roman"/>
          <w:szCs w:val="24"/>
        </w:rPr>
      </w:pPr>
    </w:p>
    <w:p w14:paraId="3C1C33EC">
      <w:pPr>
        <w:adjustRightInd/>
        <w:spacing w:line="240" w:lineRule="auto"/>
        <w:ind w:firstLine="420" w:firstLineChars="200"/>
        <w:rPr>
          <w:rFonts w:ascii="Times New Roman" w:hAnsi="Times New Roman"/>
          <w:szCs w:val="24"/>
        </w:rPr>
      </w:pPr>
    </w:p>
    <w:p w14:paraId="2100A70C">
      <w:pPr>
        <w:adjustRightInd/>
        <w:spacing w:line="240" w:lineRule="auto"/>
        <w:ind w:firstLine="420" w:firstLineChars="200"/>
        <w:rPr>
          <w:rFonts w:ascii="Times New Roman" w:hAnsi="Times New Roman"/>
          <w:szCs w:val="24"/>
        </w:rPr>
      </w:pPr>
    </w:p>
    <w:p w14:paraId="311547AF">
      <w:pPr>
        <w:adjustRightInd/>
        <w:spacing w:line="240" w:lineRule="auto"/>
        <w:ind w:firstLine="420" w:firstLineChars="200"/>
        <w:rPr>
          <w:rFonts w:ascii="Times New Roman" w:hAnsi="Times New Roman"/>
          <w:szCs w:val="24"/>
        </w:rPr>
      </w:pPr>
    </w:p>
    <w:p w14:paraId="186BD3A0">
      <w:pPr>
        <w:adjustRightInd/>
        <w:spacing w:line="240" w:lineRule="auto"/>
        <w:ind w:firstLine="420" w:firstLineChars="200"/>
        <w:rPr>
          <w:rFonts w:ascii="Times New Roman" w:hAnsi="Times New Roman"/>
          <w:szCs w:val="24"/>
        </w:rPr>
      </w:pPr>
    </w:p>
    <w:p w14:paraId="7BA26CCD">
      <w:pPr>
        <w:adjustRightInd/>
        <w:spacing w:line="240" w:lineRule="auto"/>
        <w:ind w:firstLine="420" w:firstLineChars="200"/>
        <w:rPr>
          <w:rFonts w:ascii="Times New Roman" w:hAnsi="Times New Roman"/>
          <w:szCs w:val="24"/>
        </w:rPr>
      </w:pPr>
    </w:p>
    <w:p w14:paraId="2134DFD9">
      <w:pPr>
        <w:adjustRightInd/>
        <w:spacing w:line="240" w:lineRule="auto"/>
        <w:ind w:firstLine="420" w:firstLineChars="200"/>
        <w:rPr>
          <w:rFonts w:ascii="Times New Roman" w:hAnsi="Times New Roman"/>
          <w:szCs w:val="24"/>
        </w:rPr>
      </w:pPr>
    </w:p>
    <w:p w14:paraId="047C468D">
      <w:pPr>
        <w:adjustRightInd/>
        <w:spacing w:line="240" w:lineRule="auto"/>
        <w:ind w:firstLine="420" w:firstLineChars="200"/>
        <w:rPr>
          <w:rFonts w:ascii="Times New Roman" w:hAnsi="Times New Roman"/>
          <w:szCs w:val="24"/>
        </w:rPr>
      </w:pPr>
    </w:p>
    <w:p w14:paraId="2EAB43F9">
      <w:pPr>
        <w:adjustRightInd/>
        <w:spacing w:line="240" w:lineRule="auto"/>
        <w:ind w:firstLine="420" w:firstLineChars="200"/>
        <w:rPr>
          <w:rFonts w:ascii="Times New Roman" w:hAnsi="Times New Roman"/>
          <w:szCs w:val="24"/>
        </w:rPr>
      </w:pPr>
    </w:p>
    <w:p w14:paraId="7B5B7C7F">
      <w:pPr>
        <w:adjustRightInd/>
        <w:spacing w:line="240" w:lineRule="auto"/>
        <w:ind w:firstLine="420" w:firstLineChars="200"/>
        <w:rPr>
          <w:rFonts w:ascii="Times New Roman" w:hAnsi="Times New Roman"/>
          <w:szCs w:val="24"/>
        </w:rPr>
      </w:pPr>
    </w:p>
    <w:p w14:paraId="7FC41A8E">
      <w:pPr>
        <w:adjustRightInd/>
        <w:spacing w:line="240" w:lineRule="auto"/>
        <w:ind w:firstLine="420" w:firstLineChars="200"/>
        <w:rPr>
          <w:rFonts w:ascii="Times New Roman" w:hAnsi="Times New Roman"/>
          <w:szCs w:val="24"/>
        </w:rPr>
      </w:pPr>
    </w:p>
    <w:p w14:paraId="18AA5DBA">
      <w:pPr>
        <w:adjustRightInd/>
        <w:spacing w:line="240" w:lineRule="auto"/>
        <w:ind w:firstLine="420" w:firstLineChars="200"/>
        <w:rPr>
          <w:rFonts w:ascii="Times New Roman" w:hAnsi="Times New Roman"/>
          <w:szCs w:val="24"/>
        </w:rPr>
      </w:pPr>
    </w:p>
    <w:p w14:paraId="5ADA5EBE">
      <w:pPr>
        <w:pStyle w:val="77"/>
        <w:spacing w:before="78" w:after="156"/>
      </w:pPr>
      <w:bookmarkStart w:id="118" w:name="_Toc8104"/>
      <w:bookmarkStart w:id="119" w:name="_Toc7928"/>
      <w:r>
        <w:br w:type="textWrapping"/>
      </w:r>
      <w:bookmarkStart w:id="120" w:name="_Toc438552309"/>
      <w:bookmarkStart w:id="121" w:name="_Toc438562813"/>
      <w:bookmarkStart w:id="122" w:name="_Toc438649366"/>
      <w:r>
        <w:t>（资料性）</w:t>
      </w:r>
      <w:r>
        <w:br w:type="textWrapping"/>
      </w:r>
      <w:r>
        <w:t>扁桃优良品种简介</w:t>
      </w:r>
      <w:bookmarkEnd w:id="118"/>
      <w:bookmarkEnd w:id="119"/>
      <w:bookmarkEnd w:id="120"/>
      <w:bookmarkEnd w:id="121"/>
      <w:bookmarkEnd w:id="122"/>
    </w:p>
    <w:p w14:paraId="06718561">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表</w:t>
      </w:r>
      <w:r>
        <w:rPr>
          <w:rFonts w:ascii="Times New Roman" w:hAnsi="Times New Roman"/>
          <w:kern w:val="0"/>
          <w:szCs w:val="20"/>
        </w:rPr>
        <w:t>A.1</w:t>
      </w:r>
      <w:r>
        <w:rPr>
          <w:rFonts w:hint="eastAsia" w:ascii="Times New Roman" w:hAnsi="Times New Roman"/>
          <w:kern w:val="0"/>
          <w:szCs w:val="20"/>
        </w:rPr>
        <w:t>给出了表现较好、推荐发展的品种及其特性</w:t>
      </w:r>
      <w:r>
        <w:rPr>
          <w:rFonts w:ascii="Times New Roman" w:hAnsi="Times New Roman"/>
          <w:kern w:val="0"/>
          <w:szCs w:val="20"/>
        </w:rPr>
        <w:t>。</w:t>
      </w:r>
    </w:p>
    <w:p w14:paraId="4C16925C">
      <w:pPr>
        <w:tabs>
          <w:tab w:val="left" w:pos="0"/>
          <w:tab w:val="left" w:pos="180"/>
        </w:tabs>
        <w:adjustRightInd/>
        <w:spacing w:before="156" w:beforeLines="50" w:after="156" w:afterLines="50" w:line="240" w:lineRule="auto"/>
        <w:jc w:val="center"/>
        <w:rPr>
          <w:rFonts w:ascii="黑体" w:hAnsi="Times New Roman" w:eastAsia="黑体"/>
        </w:rPr>
      </w:pPr>
      <w:r>
        <w:rPr>
          <w:rFonts w:hint="eastAsia" w:ascii="黑体" w:hAnsi="Times New Roman" w:eastAsia="黑体"/>
        </w:rPr>
        <w:t>表A.1</w:t>
      </w:r>
      <w:r>
        <w:rPr>
          <w:rFonts w:ascii="黑体" w:hAnsi="Times New Roman" w:eastAsia="黑体"/>
        </w:rPr>
        <w:t>扁桃优良品种简介</w:t>
      </w:r>
    </w:p>
    <w:tbl>
      <w:tblPr>
        <w:tblStyle w:val="27"/>
        <w:tblW w:w="9180"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1074"/>
        <w:gridCol w:w="3570"/>
        <w:gridCol w:w="3402"/>
        <w:gridCol w:w="1134"/>
      </w:tblGrid>
      <w:tr w14:paraId="3075BFA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Borders>
              <w:top w:val="single" w:color="000000" w:sz="8" w:space="0"/>
              <w:bottom w:val="single" w:color="000000" w:sz="8" w:space="0"/>
            </w:tcBorders>
          </w:tcPr>
          <w:p w14:paraId="18F9AF23">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主栽品种</w:t>
            </w:r>
          </w:p>
        </w:tc>
        <w:tc>
          <w:tcPr>
            <w:tcW w:w="3570" w:type="dxa"/>
            <w:tcBorders>
              <w:top w:val="single" w:color="000000" w:sz="8" w:space="0"/>
              <w:bottom w:val="single" w:color="000000" w:sz="8" w:space="0"/>
            </w:tcBorders>
          </w:tcPr>
          <w:p w14:paraId="3DC091C7">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果实特性</w:t>
            </w:r>
          </w:p>
        </w:tc>
        <w:tc>
          <w:tcPr>
            <w:tcW w:w="3402" w:type="dxa"/>
            <w:tcBorders>
              <w:top w:val="single" w:color="000000" w:sz="8" w:space="0"/>
              <w:bottom w:val="single" w:color="000000" w:sz="8" w:space="0"/>
            </w:tcBorders>
          </w:tcPr>
          <w:p w14:paraId="1FA564C0">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品种特性</w:t>
            </w:r>
          </w:p>
        </w:tc>
        <w:tc>
          <w:tcPr>
            <w:tcW w:w="1134" w:type="dxa"/>
            <w:tcBorders>
              <w:top w:val="single" w:color="000000" w:sz="8" w:space="0"/>
              <w:bottom w:val="single" w:color="000000" w:sz="8" w:space="0"/>
            </w:tcBorders>
          </w:tcPr>
          <w:p w14:paraId="2716CAFB">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授粉品种</w:t>
            </w:r>
          </w:p>
        </w:tc>
      </w:tr>
      <w:tr w14:paraId="6E7FAE4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Borders>
              <w:top w:val="single" w:color="000000" w:sz="8" w:space="0"/>
            </w:tcBorders>
          </w:tcPr>
          <w:p w14:paraId="304518B2">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晋扁1号</w:t>
            </w:r>
          </w:p>
        </w:tc>
        <w:tc>
          <w:tcPr>
            <w:tcW w:w="3570" w:type="dxa"/>
            <w:tcBorders>
              <w:top w:val="single" w:color="000000" w:sz="8" w:space="0"/>
            </w:tcBorders>
          </w:tcPr>
          <w:p w14:paraId="65D127A6">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核壳中硬，壳厚0.17</w:t>
            </w:r>
            <w:r>
              <w:rPr>
                <w:rFonts w:hint="eastAsia" w:ascii="Times New Roman" w:hAnsi="Times New Roman"/>
                <w:kern w:val="0"/>
                <w:sz w:val="18"/>
                <w:szCs w:val="18"/>
                <w:lang w:val="en-US" w:eastAsia="zh-CN"/>
              </w:rPr>
              <w:t xml:space="preserve"> </w:t>
            </w:r>
            <w:r>
              <w:rPr>
                <w:rFonts w:ascii="Times New Roman" w:hAnsi="Times New Roman"/>
                <w:kern w:val="0"/>
                <w:sz w:val="18"/>
                <w:szCs w:val="18"/>
              </w:rPr>
              <w:t>cm；坚果卵圆形，先端渐尖，孔点较深；平均坚果重3.58</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g，单仁重1.5</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g，出仁率41.7%，双仁率低。核仁味香甜，含油量52.8%。</w:t>
            </w:r>
          </w:p>
        </w:tc>
        <w:tc>
          <w:tcPr>
            <w:tcW w:w="3402" w:type="dxa"/>
            <w:tcBorders>
              <w:top w:val="single" w:color="000000" w:sz="8" w:space="0"/>
            </w:tcBorders>
          </w:tcPr>
          <w:p w14:paraId="23EAF3FB">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在山西中部地区4月上中旬开花，8月底果实成熟，属大仁晚花品种。7年生树平均株产2.8</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kg，13年生株产4.0</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kg，丰产；抗旱，耐瘠薄。</w:t>
            </w:r>
          </w:p>
        </w:tc>
        <w:tc>
          <w:tcPr>
            <w:tcW w:w="1134" w:type="dxa"/>
            <w:tcBorders>
              <w:top w:val="single" w:color="000000" w:sz="8" w:space="0"/>
            </w:tcBorders>
          </w:tcPr>
          <w:p w14:paraId="079EB483">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晋扁2号、晋扁3号等</w:t>
            </w:r>
          </w:p>
        </w:tc>
      </w:tr>
      <w:tr w14:paraId="5D23C39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334DA579">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晋扁2号</w:t>
            </w:r>
          </w:p>
        </w:tc>
        <w:tc>
          <w:tcPr>
            <w:tcW w:w="3570" w:type="dxa"/>
          </w:tcPr>
          <w:p w14:paraId="44D1D81E">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核壳中硬，壳厚0.22</w:t>
            </w:r>
            <w:r>
              <w:rPr>
                <w:rFonts w:hint="eastAsia" w:ascii="Times New Roman" w:hAnsi="Times New Roman"/>
                <w:kern w:val="0"/>
                <w:sz w:val="18"/>
                <w:szCs w:val="18"/>
                <w:lang w:val="en-US" w:eastAsia="zh-CN"/>
              </w:rPr>
              <w:t xml:space="preserve"> </w:t>
            </w:r>
            <w:r>
              <w:rPr>
                <w:rFonts w:ascii="Times New Roman" w:hAnsi="Times New Roman"/>
                <w:kern w:val="0"/>
                <w:sz w:val="18"/>
                <w:szCs w:val="18"/>
              </w:rPr>
              <w:t>cm；坚果扁半月形，先端渐尖；平均坚果重4.00</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g，单仁重1.60</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g，出仁率40.0%，双仁率低；核仁味香甜，含油量58.25%。</w:t>
            </w:r>
          </w:p>
        </w:tc>
        <w:tc>
          <w:tcPr>
            <w:tcW w:w="3402" w:type="dxa"/>
          </w:tcPr>
          <w:p w14:paraId="415CC37A">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在山西中部地区4月上中旬开花，9月下旬果实成熟，属大仁晚花晚熟品种。7年生树平均株产3.1</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kg，13年生株产4.5</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kg，丰产；抗旱，耐瘠薄。</w:t>
            </w:r>
          </w:p>
        </w:tc>
        <w:tc>
          <w:tcPr>
            <w:tcW w:w="1134" w:type="dxa"/>
          </w:tcPr>
          <w:p w14:paraId="1EC3EB3A">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晋扁1号、晋扁4号等</w:t>
            </w:r>
          </w:p>
        </w:tc>
      </w:tr>
      <w:tr w14:paraId="18A3F06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40148367">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晋扁3号</w:t>
            </w:r>
          </w:p>
        </w:tc>
        <w:tc>
          <w:tcPr>
            <w:tcW w:w="3570" w:type="dxa"/>
          </w:tcPr>
          <w:p w14:paraId="6E01DBAF">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核壳硬，壳厚0.28</w:t>
            </w:r>
            <w:r>
              <w:rPr>
                <w:rFonts w:hint="eastAsia" w:ascii="Times New Roman" w:hAnsi="Times New Roman"/>
                <w:kern w:val="0"/>
                <w:sz w:val="18"/>
                <w:szCs w:val="18"/>
                <w:lang w:val="en-US" w:eastAsia="zh-CN"/>
              </w:rPr>
              <w:t xml:space="preserve"> </w:t>
            </w:r>
            <w:r>
              <w:rPr>
                <w:rFonts w:ascii="Times New Roman" w:hAnsi="Times New Roman"/>
                <w:kern w:val="0"/>
                <w:sz w:val="18"/>
                <w:szCs w:val="18"/>
              </w:rPr>
              <w:t>cm；坚果扁圆形，孔点较深；平均坚果重3.20</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g，单仁重1.07</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g，出仁率33.3%，双仁率低。核仁近圆形，饱满，味香甜。</w:t>
            </w:r>
          </w:p>
        </w:tc>
        <w:tc>
          <w:tcPr>
            <w:tcW w:w="3402" w:type="dxa"/>
          </w:tcPr>
          <w:p w14:paraId="5855BD89">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在山西中部地区4月上中旬开花， 8月下旬果实成熟，属晚花品种。7年生树平均株产2.0</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kg，13年生株产4.8</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kg，丰产；抗旱，耐瘠薄。</w:t>
            </w:r>
          </w:p>
        </w:tc>
        <w:tc>
          <w:tcPr>
            <w:tcW w:w="1134" w:type="dxa"/>
          </w:tcPr>
          <w:p w14:paraId="6C551F70">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晋扁1号、晋扁2号等</w:t>
            </w:r>
          </w:p>
        </w:tc>
      </w:tr>
      <w:tr w14:paraId="54547C6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644A0AF6">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晋扁4号</w:t>
            </w:r>
          </w:p>
        </w:tc>
        <w:tc>
          <w:tcPr>
            <w:tcW w:w="3570" w:type="dxa"/>
          </w:tcPr>
          <w:p w14:paraId="07936905">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核壳中硬，壳厚0.26</w:t>
            </w:r>
            <w:r>
              <w:rPr>
                <w:rFonts w:hint="eastAsia" w:ascii="Times New Roman" w:hAnsi="Times New Roman"/>
                <w:kern w:val="0"/>
                <w:sz w:val="18"/>
                <w:szCs w:val="18"/>
                <w:lang w:val="en-US" w:eastAsia="zh-CN"/>
              </w:rPr>
              <w:t xml:space="preserve"> </w:t>
            </w:r>
            <w:r>
              <w:rPr>
                <w:rFonts w:ascii="Times New Roman" w:hAnsi="Times New Roman"/>
                <w:kern w:val="0"/>
                <w:sz w:val="18"/>
                <w:szCs w:val="18"/>
              </w:rPr>
              <w:t>cm；坚果扁半月形，果翼较明显；平均坚果重4.11</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g，单仁重1.62</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g，出仁率39.4%，双仁率低。核仁味香甜。</w:t>
            </w:r>
          </w:p>
        </w:tc>
        <w:tc>
          <w:tcPr>
            <w:tcW w:w="3402" w:type="dxa"/>
          </w:tcPr>
          <w:p w14:paraId="3D309CA3">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在山西中部地区4月初开花，8月底到9月初果实成熟，属大仁晚花品种。7年生树平均株产2.0</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kg，13年生株产4.2</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kg，丰产；抗旱，耐瘠薄。</w:t>
            </w:r>
          </w:p>
        </w:tc>
        <w:tc>
          <w:tcPr>
            <w:tcW w:w="1134" w:type="dxa"/>
          </w:tcPr>
          <w:p w14:paraId="0CF5FF6C">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晋扁1号、晋扁2号等</w:t>
            </w:r>
          </w:p>
        </w:tc>
      </w:tr>
      <w:tr w14:paraId="07F8FE1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4835F8D3">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晋薄1号</w:t>
            </w:r>
          </w:p>
        </w:tc>
        <w:tc>
          <w:tcPr>
            <w:tcW w:w="3570" w:type="dxa"/>
          </w:tcPr>
          <w:p w14:paraId="59979C54">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薄壳，</w:t>
            </w:r>
            <w:r>
              <w:rPr>
                <w:rFonts w:ascii="Times New Roman" w:hAnsi="Times New Roman"/>
                <w:color w:val="000000"/>
                <w:kern w:val="0"/>
                <w:sz w:val="18"/>
                <w:szCs w:val="18"/>
              </w:rPr>
              <w:t>壳厚0.12</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cm；坚果</w:t>
            </w:r>
            <w:r>
              <w:rPr>
                <w:rFonts w:ascii="Times New Roman" w:hAnsi="Times New Roman"/>
                <w:kern w:val="0"/>
                <w:sz w:val="18"/>
                <w:szCs w:val="18"/>
              </w:rPr>
              <w:t>扁椭圆形，果翼</w:t>
            </w:r>
            <w:r>
              <w:rPr>
                <w:rFonts w:hint="eastAsia" w:ascii="Times New Roman" w:hAnsi="Times New Roman"/>
                <w:kern w:val="0"/>
                <w:sz w:val="18"/>
                <w:szCs w:val="18"/>
              </w:rPr>
              <w:t>明</w:t>
            </w:r>
            <w:r>
              <w:rPr>
                <w:rFonts w:ascii="Times New Roman" w:hAnsi="Times New Roman"/>
                <w:kern w:val="0"/>
                <w:sz w:val="18"/>
                <w:szCs w:val="18"/>
              </w:rPr>
              <w:t>显；平均坚果重1.12</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g，单仁重0.79</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g，出仁率71%，基本无双仁。核仁味甜香。</w:t>
            </w:r>
          </w:p>
        </w:tc>
        <w:tc>
          <w:tcPr>
            <w:tcW w:w="3402" w:type="dxa"/>
          </w:tcPr>
          <w:p w14:paraId="28552F03">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在山西</w:t>
            </w:r>
            <w:r>
              <w:rPr>
                <w:rFonts w:hint="eastAsia" w:ascii="Times New Roman" w:hAnsi="Times New Roman"/>
                <w:kern w:val="0"/>
                <w:sz w:val="18"/>
                <w:szCs w:val="18"/>
              </w:rPr>
              <w:t>南</w:t>
            </w:r>
            <w:r>
              <w:rPr>
                <w:rFonts w:ascii="Times New Roman" w:hAnsi="Times New Roman"/>
                <w:kern w:val="0"/>
                <w:sz w:val="18"/>
                <w:szCs w:val="18"/>
              </w:rPr>
              <w:t>部地区4月初开花，8月初果实成熟，属早熟品种。6年生树可产坚果4.4</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kg，丰产；抗寒，抗旱，耐盐碱，耐瘠薄。</w:t>
            </w:r>
          </w:p>
        </w:tc>
        <w:tc>
          <w:tcPr>
            <w:tcW w:w="1134" w:type="dxa"/>
          </w:tcPr>
          <w:p w14:paraId="66F96087">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晋扁1号、派锥等</w:t>
            </w:r>
          </w:p>
        </w:tc>
      </w:tr>
      <w:tr w14:paraId="2F6DA79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7638E3DD">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浓帕烈</w:t>
            </w:r>
          </w:p>
        </w:tc>
        <w:tc>
          <w:tcPr>
            <w:tcW w:w="3570" w:type="dxa"/>
          </w:tcPr>
          <w:p w14:paraId="7F8A8CDE">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核壳薄而软，壳厚0.06</w:t>
            </w:r>
            <w:r>
              <w:rPr>
                <w:rFonts w:hint="eastAsia" w:ascii="Times New Roman" w:hAnsi="Times New Roman"/>
                <w:kern w:val="0"/>
                <w:sz w:val="18"/>
                <w:szCs w:val="18"/>
                <w:lang w:val="en-US" w:eastAsia="zh-CN"/>
              </w:rPr>
              <w:t xml:space="preserve"> </w:t>
            </w:r>
            <w:r>
              <w:rPr>
                <w:rFonts w:ascii="Times New Roman" w:hAnsi="Times New Roman"/>
                <w:kern w:val="0"/>
                <w:sz w:val="18"/>
                <w:szCs w:val="18"/>
              </w:rPr>
              <w:t>cm；平均坚果重1.55</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g，单仁重1.19</w:t>
            </w:r>
            <w:r>
              <w:rPr>
                <w:rFonts w:hint="eastAsia" w:ascii="Times New Roman" w:hAnsi="Times New Roman"/>
                <w:kern w:val="0"/>
                <w:sz w:val="18"/>
                <w:szCs w:val="18"/>
                <w:lang w:val="en-US" w:eastAsia="zh-CN"/>
              </w:rPr>
              <w:t xml:space="preserve"> </w:t>
            </w:r>
            <w:r>
              <w:rPr>
                <w:rFonts w:ascii="Times New Roman" w:hAnsi="Times New Roman"/>
                <w:kern w:val="0"/>
                <w:sz w:val="18"/>
                <w:szCs w:val="18"/>
              </w:rPr>
              <w:t>g，出仁率55.2%；核仁淡褐色，平滑、整齐，外观好，味甜香。</w:t>
            </w:r>
          </w:p>
        </w:tc>
        <w:tc>
          <w:tcPr>
            <w:tcW w:w="3402" w:type="dxa"/>
          </w:tcPr>
          <w:p w14:paraId="014B1CF5">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在山西</w:t>
            </w:r>
            <w:r>
              <w:rPr>
                <w:rFonts w:hint="eastAsia" w:ascii="Times New Roman" w:hAnsi="Times New Roman"/>
                <w:kern w:val="0"/>
                <w:sz w:val="18"/>
                <w:szCs w:val="18"/>
              </w:rPr>
              <w:t>南</w:t>
            </w:r>
            <w:r>
              <w:rPr>
                <w:rFonts w:ascii="Times New Roman" w:hAnsi="Times New Roman"/>
                <w:kern w:val="0"/>
                <w:sz w:val="18"/>
                <w:szCs w:val="18"/>
              </w:rPr>
              <w:t>部地区，4月初</w:t>
            </w:r>
            <w:r>
              <w:rPr>
                <w:rFonts w:hint="eastAsia" w:ascii="Times New Roman" w:hAnsi="Times New Roman"/>
                <w:kern w:val="0"/>
                <w:sz w:val="18"/>
                <w:szCs w:val="18"/>
              </w:rPr>
              <w:t>开</w:t>
            </w:r>
            <w:r>
              <w:rPr>
                <w:rFonts w:ascii="Times New Roman" w:hAnsi="Times New Roman"/>
                <w:kern w:val="0"/>
                <w:sz w:val="18"/>
                <w:szCs w:val="18"/>
              </w:rPr>
              <w:t>花，9月下旬果实成熟；高接树第3年平均株产1.08</w:t>
            </w:r>
            <w:r>
              <w:rPr>
                <w:rFonts w:hint="eastAsia" w:ascii="Times New Roman" w:hAnsi="Times New Roman"/>
                <w:kern w:val="0"/>
                <w:sz w:val="18"/>
                <w:szCs w:val="18"/>
                <w:lang w:val="en-US" w:eastAsia="zh-CN"/>
              </w:rPr>
              <w:t xml:space="preserve"> </w:t>
            </w:r>
            <w:r>
              <w:rPr>
                <w:rFonts w:ascii="Times New Roman" w:hAnsi="Times New Roman"/>
                <w:kern w:val="0"/>
                <w:sz w:val="18"/>
                <w:szCs w:val="18"/>
              </w:rPr>
              <w:t>kg；抗逆性强，抗寒，抗旱，适应性广。</w:t>
            </w:r>
          </w:p>
        </w:tc>
        <w:tc>
          <w:tcPr>
            <w:tcW w:w="1134" w:type="dxa"/>
          </w:tcPr>
          <w:p w14:paraId="39A2A3AB">
            <w:pPr>
              <w:widowControl/>
              <w:tabs>
                <w:tab w:val="center" w:pos="4201"/>
                <w:tab w:val="right" w:leader="dot" w:pos="9298"/>
              </w:tabs>
              <w:autoSpaceDE w:val="0"/>
              <w:autoSpaceDN w:val="0"/>
              <w:adjustRightInd/>
              <w:spacing w:line="240" w:lineRule="auto"/>
              <w:rPr>
                <w:rFonts w:ascii="Times New Roman" w:hAnsi="Times New Roman"/>
                <w:kern w:val="0"/>
                <w:sz w:val="18"/>
                <w:szCs w:val="18"/>
              </w:rPr>
            </w:pPr>
            <w:r>
              <w:rPr>
                <w:rFonts w:ascii="Times New Roman" w:hAnsi="Times New Roman"/>
                <w:kern w:val="0"/>
                <w:sz w:val="18"/>
                <w:szCs w:val="18"/>
              </w:rPr>
              <w:t>派椎、加州1号等</w:t>
            </w:r>
          </w:p>
        </w:tc>
      </w:tr>
      <w:tr w14:paraId="2D437CE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1CC35AAC">
            <w:pPr>
              <w:widowControl/>
              <w:tabs>
                <w:tab w:val="center" w:pos="4201"/>
                <w:tab w:val="right" w:leader="dot" w:pos="9298"/>
              </w:tabs>
              <w:autoSpaceDE w:val="0"/>
              <w:autoSpaceDN w:val="0"/>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派锥</w:t>
            </w:r>
          </w:p>
        </w:tc>
        <w:tc>
          <w:tcPr>
            <w:tcW w:w="3570" w:type="dxa"/>
          </w:tcPr>
          <w:p w14:paraId="0D7A33E8">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ascii="Times New Roman" w:hAnsi="Times New Roman"/>
                <w:color w:val="000000"/>
                <w:kern w:val="0"/>
                <w:sz w:val="18"/>
                <w:szCs w:val="18"/>
              </w:rPr>
              <w:t>核壳中硬，壳厚0.22</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cm；平均坚果重1.24</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g，单仁重0.86</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g，出仁率60.73%，双仁率低；核仁味甜香。</w:t>
            </w:r>
          </w:p>
        </w:tc>
        <w:tc>
          <w:tcPr>
            <w:tcW w:w="3402" w:type="dxa"/>
          </w:tcPr>
          <w:p w14:paraId="24260055">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ascii="Times New Roman" w:hAnsi="Times New Roman"/>
                <w:color w:val="000000"/>
                <w:kern w:val="0"/>
                <w:sz w:val="18"/>
                <w:szCs w:val="18"/>
              </w:rPr>
              <w:t>在山西</w:t>
            </w:r>
            <w:r>
              <w:rPr>
                <w:rFonts w:hint="eastAsia" w:ascii="Times New Roman" w:hAnsi="Times New Roman"/>
                <w:color w:val="000000"/>
                <w:kern w:val="0"/>
                <w:sz w:val="18"/>
                <w:szCs w:val="18"/>
              </w:rPr>
              <w:t>南</w:t>
            </w:r>
            <w:r>
              <w:rPr>
                <w:rFonts w:ascii="Times New Roman" w:hAnsi="Times New Roman"/>
                <w:color w:val="000000"/>
                <w:kern w:val="0"/>
                <w:sz w:val="18"/>
                <w:szCs w:val="18"/>
              </w:rPr>
              <w:t>部地区，4月上旬开花，9月下旬果实成熟；3年生树株产1.13</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kg；抗寒性中等。</w:t>
            </w:r>
          </w:p>
        </w:tc>
        <w:tc>
          <w:tcPr>
            <w:tcW w:w="1134" w:type="dxa"/>
          </w:tcPr>
          <w:p w14:paraId="60E7876E">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ascii="Times New Roman" w:hAnsi="Times New Roman"/>
                <w:color w:val="000000"/>
                <w:kern w:val="0"/>
                <w:sz w:val="18"/>
                <w:szCs w:val="18"/>
              </w:rPr>
              <w:t>浓帕烈、加州1号等</w:t>
            </w:r>
          </w:p>
        </w:tc>
      </w:tr>
      <w:tr w14:paraId="25F520B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111B59A7">
            <w:pPr>
              <w:widowControl/>
              <w:tabs>
                <w:tab w:val="center" w:pos="4201"/>
                <w:tab w:val="right" w:leader="dot" w:pos="9298"/>
              </w:tabs>
              <w:autoSpaceDE w:val="0"/>
              <w:autoSpaceDN w:val="0"/>
              <w:adjustRightInd/>
              <w:spacing w:line="240" w:lineRule="auto"/>
              <w:jc w:val="center"/>
              <w:rPr>
                <w:rFonts w:ascii="Times New Roman" w:hAnsi="Times New Roman"/>
                <w:color w:val="000000"/>
                <w:kern w:val="0"/>
                <w:sz w:val="18"/>
                <w:szCs w:val="18"/>
              </w:rPr>
            </w:pPr>
            <w:r>
              <w:rPr>
                <w:rFonts w:hint="eastAsia" w:ascii="Times New Roman" w:hAnsi="Times New Roman"/>
                <w:color w:val="000000"/>
                <w:kern w:val="0"/>
                <w:sz w:val="18"/>
                <w:szCs w:val="18"/>
              </w:rPr>
              <w:t>晋软壳1号</w:t>
            </w:r>
          </w:p>
        </w:tc>
        <w:tc>
          <w:tcPr>
            <w:tcW w:w="3570" w:type="dxa"/>
          </w:tcPr>
          <w:p w14:paraId="614B03D4">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hint="eastAsia" w:ascii="Times New Roman" w:hAnsi="Times New Roman"/>
                <w:color w:val="000000"/>
                <w:kern w:val="0"/>
                <w:sz w:val="18"/>
                <w:szCs w:val="18"/>
              </w:rPr>
              <w:t>核壳较软，</w:t>
            </w:r>
            <w:r>
              <w:rPr>
                <w:rFonts w:ascii="Times New Roman" w:hAnsi="Times New Roman"/>
                <w:color w:val="000000"/>
                <w:kern w:val="0"/>
                <w:sz w:val="18"/>
                <w:szCs w:val="18"/>
              </w:rPr>
              <w:t>壳厚0.</w:t>
            </w:r>
            <w:r>
              <w:rPr>
                <w:rFonts w:hint="eastAsia" w:ascii="Times New Roman" w:hAnsi="Times New Roman"/>
                <w:color w:val="000000"/>
                <w:kern w:val="0"/>
                <w:sz w:val="18"/>
                <w:szCs w:val="18"/>
              </w:rPr>
              <w:t>17</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cm；坚果</w:t>
            </w:r>
            <w:r>
              <w:rPr>
                <w:rFonts w:hint="eastAsia" w:ascii="Times New Roman" w:hAnsi="Times New Roman"/>
                <w:color w:val="000000"/>
                <w:kern w:val="0"/>
                <w:sz w:val="18"/>
                <w:szCs w:val="18"/>
              </w:rPr>
              <w:t>卵圆</w:t>
            </w:r>
            <w:r>
              <w:rPr>
                <w:rFonts w:ascii="Times New Roman" w:hAnsi="Times New Roman"/>
                <w:color w:val="000000"/>
                <w:kern w:val="0"/>
                <w:sz w:val="18"/>
                <w:szCs w:val="18"/>
              </w:rPr>
              <w:t>形；平均坚果重</w:t>
            </w:r>
            <w:r>
              <w:rPr>
                <w:rFonts w:hint="eastAsia" w:ascii="Times New Roman" w:hAnsi="Times New Roman"/>
                <w:color w:val="000000"/>
                <w:kern w:val="0"/>
                <w:sz w:val="18"/>
                <w:szCs w:val="18"/>
              </w:rPr>
              <w:t>1.76</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g，单仁重1.</w:t>
            </w:r>
            <w:r>
              <w:rPr>
                <w:rFonts w:hint="eastAsia" w:ascii="Times New Roman" w:hAnsi="Times New Roman"/>
                <w:color w:val="000000"/>
                <w:kern w:val="0"/>
                <w:sz w:val="18"/>
                <w:szCs w:val="18"/>
              </w:rPr>
              <w:t>00</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g，出仁率</w:t>
            </w:r>
            <w:r>
              <w:rPr>
                <w:rFonts w:hint="eastAsia" w:ascii="Times New Roman" w:hAnsi="Times New Roman"/>
                <w:color w:val="000000"/>
                <w:kern w:val="0"/>
                <w:sz w:val="18"/>
                <w:szCs w:val="18"/>
              </w:rPr>
              <w:t>57.04</w:t>
            </w:r>
            <w:r>
              <w:rPr>
                <w:rFonts w:ascii="Times New Roman" w:hAnsi="Times New Roman"/>
                <w:color w:val="000000"/>
                <w:kern w:val="0"/>
                <w:sz w:val="18"/>
                <w:szCs w:val="18"/>
              </w:rPr>
              <w:t>%，双仁率低。核仁味香甜。</w:t>
            </w:r>
          </w:p>
        </w:tc>
        <w:tc>
          <w:tcPr>
            <w:tcW w:w="3402" w:type="dxa"/>
          </w:tcPr>
          <w:p w14:paraId="15DEC3A5">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ascii="Times New Roman" w:hAnsi="Times New Roman"/>
                <w:color w:val="000000"/>
                <w:kern w:val="0"/>
                <w:sz w:val="18"/>
                <w:szCs w:val="18"/>
              </w:rPr>
              <w:t>在山西</w:t>
            </w:r>
            <w:r>
              <w:rPr>
                <w:rFonts w:hint="eastAsia" w:ascii="Times New Roman" w:hAnsi="Times New Roman"/>
                <w:color w:val="000000"/>
                <w:kern w:val="0"/>
                <w:sz w:val="18"/>
                <w:szCs w:val="18"/>
              </w:rPr>
              <w:t>中</w:t>
            </w:r>
            <w:r>
              <w:rPr>
                <w:rFonts w:ascii="Times New Roman" w:hAnsi="Times New Roman"/>
                <w:color w:val="000000"/>
                <w:kern w:val="0"/>
                <w:sz w:val="18"/>
                <w:szCs w:val="18"/>
              </w:rPr>
              <w:t>部地区4月初开花，</w:t>
            </w:r>
            <w:r>
              <w:rPr>
                <w:rFonts w:hint="eastAsia" w:ascii="Times New Roman" w:hAnsi="Times New Roman"/>
                <w:color w:val="000000"/>
                <w:kern w:val="0"/>
                <w:sz w:val="18"/>
                <w:szCs w:val="18"/>
              </w:rPr>
              <w:t>9</w:t>
            </w:r>
            <w:r>
              <w:rPr>
                <w:rFonts w:ascii="Times New Roman" w:hAnsi="Times New Roman"/>
                <w:color w:val="000000"/>
                <w:kern w:val="0"/>
                <w:sz w:val="18"/>
                <w:szCs w:val="18"/>
              </w:rPr>
              <w:t>月</w:t>
            </w:r>
            <w:r>
              <w:rPr>
                <w:rFonts w:hint="eastAsia" w:ascii="Times New Roman" w:hAnsi="Times New Roman"/>
                <w:color w:val="000000"/>
                <w:kern w:val="0"/>
                <w:sz w:val="18"/>
                <w:szCs w:val="18"/>
              </w:rPr>
              <w:t>上旬</w:t>
            </w:r>
            <w:r>
              <w:rPr>
                <w:rFonts w:ascii="Times New Roman" w:hAnsi="Times New Roman"/>
                <w:color w:val="000000"/>
                <w:kern w:val="0"/>
                <w:sz w:val="18"/>
                <w:szCs w:val="18"/>
              </w:rPr>
              <w:t>果实成熟，属</w:t>
            </w:r>
            <w:r>
              <w:rPr>
                <w:rFonts w:hint="eastAsia" w:ascii="Times New Roman" w:hAnsi="Times New Roman"/>
                <w:color w:val="000000"/>
                <w:kern w:val="0"/>
                <w:sz w:val="18"/>
                <w:szCs w:val="18"/>
              </w:rPr>
              <w:t>晚</w:t>
            </w:r>
            <w:r>
              <w:rPr>
                <w:rFonts w:ascii="Times New Roman" w:hAnsi="Times New Roman"/>
                <w:color w:val="000000"/>
                <w:kern w:val="0"/>
                <w:sz w:val="18"/>
                <w:szCs w:val="18"/>
              </w:rPr>
              <w:t>熟品种。</w:t>
            </w:r>
            <w:r>
              <w:rPr>
                <w:rFonts w:hint="eastAsia" w:ascii="Times New Roman" w:hAnsi="Times New Roman"/>
                <w:color w:val="000000"/>
                <w:kern w:val="0"/>
                <w:sz w:val="18"/>
                <w:szCs w:val="18"/>
              </w:rPr>
              <w:t>7</w:t>
            </w:r>
            <w:r>
              <w:rPr>
                <w:rFonts w:ascii="Times New Roman" w:hAnsi="Times New Roman"/>
                <w:color w:val="000000"/>
                <w:kern w:val="0"/>
                <w:sz w:val="18"/>
                <w:szCs w:val="18"/>
              </w:rPr>
              <w:t>年生树可产坚果4</w:t>
            </w:r>
            <w:r>
              <w:rPr>
                <w:rFonts w:hint="eastAsia" w:ascii="Times New Roman" w:hAnsi="Times New Roman"/>
                <w:color w:val="000000"/>
                <w:kern w:val="0"/>
                <w:sz w:val="18"/>
                <w:szCs w:val="18"/>
              </w:rPr>
              <w:t>.00</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kg，丰产；抗寒，抗旱，耐盐碱，耐瘠薄。</w:t>
            </w:r>
          </w:p>
        </w:tc>
        <w:tc>
          <w:tcPr>
            <w:tcW w:w="1134" w:type="dxa"/>
          </w:tcPr>
          <w:p w14:paraId="1E044C70">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hint="eastAsia" w:ascii="Times New Roman" w:hAnsi="Times New Roman"/>
                <w:color w:val="000000"/>
                <w:kern w:val="0"/>
                <w:sz w:val="18"/>
                <w:szCs w:val="18"/>
              </w:rPr>
              <w:t>晋薄</w:t>
            </w:r>
            <w:r>
              <w:rPr>
                <w:rFonts w:ascii="Times New Roman" w:hAnsi="Times New Roman"/>
                <w:color w:val="000000"/>
                <w:kern w:val="0"/>
                <w:sz w:val="18"/>
                <w:szCs w:val="18"/>
              </w:rPr>
              <w:t>1</w:t>
            </w:r>
            <w:r>
              <w:rPr>
                <w:rFonts w:hint="eastAsia" w:ascii="Times New Roman" w:hAnsi="Times New Roman"/>
                <w:color w:val="000000"/>
                <w:kern w:val="0"/>
                <w:sz w:val="18"/>
                <w:szCs w:val="18"/>
              </w:rPr>
              <w:t>号、晋扁</w:t>
            </w:r>
            <w:r>
              <w:rPr>
                <w:rFonts w:ascii="Times New Roman" w:hAnsi="Times New Roman"/>
                <w:color w:val="000000"/>
                <w:kern w:val="0"/>
                <w:sz w:val="18"/>
                <w:szCs w:val="18"/>
              </w:rPr>
              <w:t>2</w:t>
            </w:r>
            <w:r>
              <w:rPr>
                <w:rFonts w:hint="eastAsia" w:ascii="Times New Roman" w:hAnsi="Times New Roman"/>
                <w:color w:val="000000"/>
                <w:kern w:val="0"/>
                <w:sz w:val="18"/>
                <w:szCs w:val="18"/>
              </w:rPr>
              <w:t>号等</w:t>
            </w:r>
          </w:p>
        </w:tc>
      </w:tr>
      <w:tr w14:paraId="5317F73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1074" w:type="dxa"/>
          </w:tcPr>
          <w:p w14:paraId="47F48630">
            <w:pPr>
              <w:widowControl/>
              <w:tabs>
                <w:tab w:val="center" w:pos="4201"/>
                <w:tab w:val="right" w:leader="dot" w:pos="9298"/>
              </w:tabs>
              <w:autoSpaceDE w:val="0"/>
              <w:autoSpaceDN w:val="0"/>
              <w:adjustRightInd/>
              <w:spacing w:line="240" w:lineRule="auto"/>
              <w:jc w:val="center"/>
              <w:rPr>
                <w:rFonts w:ascii="Times New Roman" w:hAnsi="Times New Roman"/>
                <w:color w:val="000000"/>
                <w:kern w:val="0"/>
                <w:sz w:val="18"/>
                <w:szCs w:val="18"/>
              </w:rPr>
            </w:pPr>
            <w:r>
              <w:rPr>
                <w:rFonts w:hint="eastAsia" w:ascii="Times New Roman" w:hAnsi="Times New Roman"/>
                <w:color w:val="000000"/>
                <w:kern w:val="0"/>
                <w:sz w:val="18"/>
                <w:szCs w:val="18"/>
              </w:rPr>
              <w:t>晋软壳2号</w:t>
            </w:r>
          </w:p>
        </w:tc>
        <w:tc>
          <w:tcPr>
            <w:tcW w:w="3570" w:type="dxa"/>
          </w:tcPr>
          <w:p w14:paraId="0ACCAF64">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hint="eastAsia" w:ascii="Times New Roman" w:hAnsi="Times New Roman"/>
                <w:color w:val="000000"/>
                <w:kern w:val="0"/>
                <w:sz w:val="18"/>
                <w:szCs w:val="18"/>
              </w:rPr>
              <w:t>核壳较软，</w:t>
            </w:r>
            <w:r>
              <w:rPr>
                <w:rFonts w:ascii="Times New Roman" w:hAnsi="Times New Roman"/>
                <w:color w:val="000000"/>
                <w:kern w:val="0"/>
                <w:sz w:val="18"/>
                <w:szCs w:val="18"/>
              </w:rPr>
              <w:t>壳厚0.2</w:t>
            </w:r>
            <w:r>
              <w:rPr>
                <w:rFonts w:hint="eastAsia" w:ascii="Times New Roman" w:hAnsi="Times New Roman"/>
                <w:color w:val="000000"/>
                <w:kern w:val="0"/>
                <w:sz w:val="18"/>
                <w:szCs w:val="18"/>
              </w:rPr>
              <w:t>1</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cm；坚果</w:t>
            </w:r>
            <w:r>
              <w:rPr>
                <w:rFonts w:hint="eastAsia" w:ascii="Times New Roman" w:hAnsi="Times New Roman"/>
                <w:color w:val="000000"/>
                <w:kern w:val="0"/>
                <w:sz w:val="18"/>
                <w:szCs w:val="18"/>
              </w:rPr>
              <w:t>长椭圆</w:t>
            </w:r>
            <w:r>
              <w:rPr>
                <w:rFonts w:ascii="Times New Roman" w:hAnsi="Times New Roman"/>
                <w:color w:val="000000"/>
                <w:kern w:val="0"/>
                <w:sz w:val="18"/>
                <w:szCs w:val="18"/>
              </w:rPr>
              <w:t>形；平均坚果重</w:t>
            </w:r>
            <w:r>
              <w:rPr>
                <w:rFonts w:hint="eastAsia" w:ascii="Times New Roman" w:hAnsi="Times New Roman"/>
                <w:color w:val="000000"/>
                <w:kern w:val="0"/>
                <w:sz w:val="18"/>
                <w:szCs w:val="18"/>
              </w:rPr>
              <w:t>1.82</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g，单仁重1.</w:t>
            </w:r>
            <w:r>
              <w:rPr>
                <w:rFonts w:hint="eastAsia" w:ascii="Times New Roman" w:hAnsi="Times New Roman"/>
                <w:color w:val="000000"/>
                <w:kern w:val="0"/>
                <w:sz w:val="18"/>
                <w:szCs w:val="18"/>
              </w:rPr>
              <w:t>18</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g，出仁率</w:t>
            </w:r>
            <w:r>
              <w:rPr>
                <w:rFonts w:hint="eastAsia" w:ascii="Times New Roman" w:hAnsi="Times New Roman"/>
                <w:color w:val="000000"/>
                <w:kern w:val="0"/>
                <w:sz w:val="18"/>
                <w:szCs w:val="18"/>
              </w:rPr>
              <w:t>64.83</w:t>
            </w:r>
            <w:r>
              <w:rPr>
                <w:rFonts w:ascii="Times New Roman" w:hAnsi="Times New Roman"/>
                <w:color w:val="000000"/>
                <w:kern w:val="0"/>
                <w:sz w:val="18"/>
                <w:szCs w:val="18"/>
              </w:rPr>
              <w:t>%，双仁率低。核仁味香甜。</w:t>
            </w:r>
          </w:p>
        </w:tc>
        <w:tc>
          <w:tcPr>
            <w:tcW w:w="3402" w:type="dxa"/>
          </w:tcPr>
          <w:p w14:paraId="69713B89">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ascii="Times New Roman" w:hAnsi="Times New Roman"/>
                <w:color w:val="000000"/>
                <w:kern w:val="0"/>
                <w:sz w:val="18"/>
                <w:szCs w:val="18"/>
              </w:rPr>
              <w:t>在山西</w:t>
            </w:r>
            <w:r>
              <w:rPr>
                <w:rFonts w:hint="eastAsia" w:ascii="Times New Roman" w:hAnsi="Times New Roman"/>
                <w:color w:val="000000"/>
                <w:kern w:val="0"/>
                <w:sz w:val="18"/>
                <w:szCs w:val="18"/>
              </w:rPr>
              <w:t>中</w:t>
            </w:r>
            <w:r>
              <w:rPr>
                <w:rFonts w:ascii="Times New Roman" w:hAnsi="Times New Roman"/>
                <w:color w:val="000000"/>
                <w:kern w:val="0"/>
                <w:sz w:val="18"/>
                <w:szCs w:val="18"/>
              </w:rPr>
              <w:t>部地区4月</w:t>
            </w:r>
            <w:r>
              <w:rPr>
                <w:rFonts w:hint="eastAsia" w:ascii="Times New Roman" w:hAnsi="Times New Roman"/>
                <w:color w:val="000000"/>
                <w:kern w:val="0"/>
                <w:sz w:val="18"/>
                <w:szCs w:val="18"/>
              </w:rPr>
              <w:t>上旬</w:t>
            </w:r>
            <w:r>
              <w:rPr>
                <w:rFonts w:ascii="Times New Roman" w:hAnsi="Times New Roman"/>
                <w:color w:val="000000"/>
                <w:kern w:val="0"/>
                <w:sz w:val="18"/>
                <w:szCs w:val="18"/>
              </w:rPr>
              <w:t>开花，8月</w:t>
            </w:r>
            <w:r>
              <w:rPr>
                <w:rFonts w:hint="eastAsia" w:ascii="Times New Roman" w:hAnsi="Times New Roman"/>
                <w:color w:val="000000"/>
                <w:kern w:val="0"/>
                <w:sz w:val="18"/>
                <w:szCs w:val="18"/>
              </w:rPr>
              <w:t>下旬</w:t>
            </w:r>
            <w:r>
              <w:rPr>
                <w:rFonts w:ascii="Times New Roman" w:hAnsi="Times New Roman"/>
                <w:color w:val="000000"/>
                <w:kern w:val="0"/>
                <w:sz w:val="18"/>
                <w:szCs w:val="18"/>
              </w:rPr>
              <w:t>果实成熟，属</w:t>
            </w:r>
            <w:r>
              <w:rPr>
                <w:rFonts w:hint="eastAsia" w:ascii="Times New Roman" w:hAnsi="Times New Roman"/>
                <w:color w:val="000000"/>
                <w:kern w:val="0"/>
                <w:sz w:val="18"/>
                <w:szCs w:val="18"/>
              </w:rPr>
              <w:t>中晚</w:t>
            </w:r>
            <w:r>
              <w:rPr>
                <w:rFonts w:ascii="Times New Roman" w:hAnsi="Times New Roman"/>
                <w:color w:val="000000"/>
                <w:kern w:val="0"/>
                <w:sz w:val="18"/>
                <w:szCs w:val="18"/>
              </w:rPr>
              <w:t>熟品种。6年生树可产坚果</w:t>
            </w:r>
            <w:r>
              <w:rPr>
                <w:rFonts w:hint="eastAsia" w:ascii="Times New Roman" w:hAnsi="Times New Roman"/>
                <w:color w:val="000000"/>
                <w:kern w:val="0"/>
                <w:sz w:val="18"/>
                <w:szCs w:val="18"/>
              </w:rPr>
              <w:t>3.27</w:t>
            </w:r>
            <w:r>
              <w:rPr>
                <w:rFonts w:hint="eastAsia" w:ascii="Times New Roman" w:hAnsi="Times New Roman"/>
                <w:color w:val="000000"/>
                <w:kern w:val="0"/>
                <w:sz w:val="18"/>
                <w:szCs w:val="18"/>
                <w:lang w:val="en-US" w:eastAsia="zh-CN"/>
              </w:rPr>
              <w:t xml:space="preserve"> </w:t>
            </w:r>
            <w:r>
              <w:rPr>
                <w:rFonts w:ascii="Times New Roman" w:hAnsi="Times New Roman"/>
                <w:color w:val="000000"/>
                <w:kern w:val="0"/>
                <w:sz w:val="18"/>
                <w:szCs w:val="18"/>
              </w:rPr>
              <w:t>kg，丰产；抗寒，抗旱，耐盐碱，耐瘠薄。</w:t>
            </w:r>
          </w:p>
        </w:tc>
        <w:tc>
          <w:tcPr>
            <w:tcW w:w="1134" w:type="dxa"/>
          </w:tcPr>
          <w:p w14:paraId="3805D70E">
            <w:pPr>
              <w:widowControl/>
              <w:tabs>
                <w:tab w:val="center" w:pos="4201"/>
                <w:tab w:val="right" w:leader="dot" w:pos="9298"/>
              </w:tabs>
              <w:autoSpaceDE w:val="0"/>
              <w:autoSpaceDN w:val="0"/>
              <w:adjustRightInd/>
              <w:spacing w:line="240" w:lineRule="auto"/>
              <w:rPr>
                <w:rFonts w:ascii="Times New Roman" w:hAnsi="Times New Roman"/>
                <w:color w:val="000000"/>
                <w:kern w:val="0"/>
                <w:sz w:val="18"/>
                <w:szCs w:val="18"/>
              </w:rPr>
            </w:pPr>
            <w:r>
              <w:rPr>
                <w:rFonts w:hint="eastAsia" w:ascii="Times New Roman" w:hAnsi="Times New Roman"/>
                <w:color w:val="000000"/>
                <w:kern w:val="0"/>
                <w:sz w:val="18"/>
                <w:szCs w:val="18"/>
              </w:rPr>
              <w:t>晋薄</w:t>
            </w:r>
            <w:r>
              <w:rPr>
                <w:rFonts w:ascii="Times New Roman" w:hAnsi="Times New Roman"/>
                <w:color w:val="000000"/>
                <w:kern w:val="0"/>
                <w:sz w:val="18"/>
                <w:szCs w:val="18"/>
              </w:rPr>
              <w:t>1</w:t>
            </w:r>
            <w:r>
              <w:rPr>
                <w:rFonts w:hint="eastAsia" w:ascii="Times New Roman" w:hAnsi="Times New Roman"/>
                <w:color w:val="000000"/>
                <w:kern w:val="0"/>
                <w:sz w:val="18"/>
                <w:szCs w:val="18"/>
              </w:rPr>
              <w:t>号、晋扁1号等</w:t>
            </w:r>
          </w:p>
        </w:tc>
      </w:tr>
    </w:tbl>
    <w:p w14:paraId="597415F4">
      <w:pPr>
        <w:pStyle w:val="77"/>
        <w:spacing w:before="78" w:after="156"/>
      </w:pPr>
      <w:bookmarkStart w:id="123" w:name="_Toc29438"/>
      <w:bookmarkStart w:id="124" w:name="_Toc29998"/>
      <w:r>
        <w:br w:type="textWrapping"/>
      </w:r>
      <w:r>
        <w:t>（资料性</w:t>
      </w:r>
      <w:bookmarkStart w:id="126" w:name="_GoBack"/>
      <w:bookmarkEnd w:id="126"/>
      <w:r>
        <w:t>）</w:t>
      </w:r>
      <w:r>
        <w:br w:type="textWrapping"/>
      </w:r>
      <w:r>
        <w:rPr>
          <w:rFonts w:hint="eastAsia"/>
        </w:rPr>
        <w:t>扁桃果园生产档案</w:t>
      </w:r>
      <w:bookmarkEnd w:id="123"/>
      <w:bookmarkEnd w:id="124"/>
    </w:p>
    <w:p w14:paraId="557B2015">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表B</w:t>
      </w:r>
      <w:r>
        <w:rPr>
          <w:rFonts w:ascii="Times New Roman" w:hAnsi="Times New Roman"/>
          <w:kern w:val="0"/>
          <w:szCs w:val="20"/>
        </w:rPr>
        <w:t>.1</w:t>
      </w:r>
      <w:r>
        <w:rPr>
          <w:rFonts w:hint="eastAsia" w:ascii="Times New Roman" w:hAnsi="Times New Roman"/>
          <w:kern w:val="0"/>
          <w:szCs w:val="20"/>
        </w:rPr>
        <w:t>列出了扁桃树体生长发育主要物候期记录的主要内容</w:t>
      </w:r>
      <w:r>
        <w:rPr>
          <w:rFonts w:ascii="Times New Roman" w:hAnsi="Times New Roman"/>
          <w:kern w:val="0"/>
          <w:szCs w:val="20"/>
        </w:rPr>
        <w:t>。</w:t>
      </w:r>
    </w:p>
    <w:p w14:paraId="6F8ABBCA">
      <w:pPr>
        <w:tabs>
          <w:tab w:val="left" w:pos="0"/>
          <w:tab w:val="left" w:pos="180"/>
        </w:tabs>
        <w:adjustRightInd/>
        <w:spacing w:before="156" w:beforeLines="50" w:after="156" w:afterLines="50" w:line="240" w:lineRule="auto"/>
        <w:jc w:val="center"/>
        <w:rPr>
          <w:rFonts w:ascii="黑体" w:hAnsi="Times New Roman" w:eastAsia="黑体"/>
        </w:rPr>
      </w:pPr>
      <w:r>
        <w:rPr>
          <w:rFonts w:hint="eastAsia" w:ascii="黑体" w:hAnsi="Times New Roman" w:eastAsia="黑体"/>
        </w:rPr>
        <w:t>表B.1扁桃树体生长发育主要物候期记载表</w:t>
      </w:r>
    </w:p>
    <w:p w14:paraId="38531F62">
      <w:pPr>
        <w:adjustRightInd/>
        <w:spacing w:line="240" w:lineRule="auto"/>
        <w:ind w:firstLine="435"/>
        <w:rPr>
          <w:rFonts w:ascii="Times New Roman" w:hAnsi="Times New Roman"/>
          <w:color w:val="000000"/>
          <w:szCs w:val="24"/>
        </w:rPr>
      </w:pPr>
      <w:r>
        <w:rPr>
          <w:rFonts w:hint="eastAsia" w:ascii="宋体" w:hAnsi="宋体"/>
          <w:color w:val="000000"/>
          <w:szCs w:val="24"/>
        </w:rPr>
        <w:t>种植农户：</w:t>
      </w:r>
      <w:r>
        <w:rPr>
          <w:rFonts w:hint="eastAsia" w:ascii="Times New Roman" w:hAnsi="Times New Roman"/>
          <w:color w:val="000000"/>
          <w:szCs w:val="24"/>
        </w:rPr>
        <w:t xml:space="preserve">             </w:t>
      </w:r>
      <w:r>
        <w:rPr>
          <w:rFonts w:hint="eastAsia" w:ascii="宋体" w:hAnsi="宋体"/>
          <w:color w:val="000000"/>
          <w:szCs w:val="24"/>
        </w:rPr>
        <w:t>种植面积：</w:t>
      </w:r>
      <w:r>
        <w:rPr>
          <w:rFonts w:hint="eastAsia" w:ascii="Times New Roman" w:hAnsi="Times New Roman"/>
          <w:color w:val="000000"/>
          <w:szCs w:val="24"/>
        </w:rPr>
        <w:t xml:space="preserve">              </w:t>
      </w:r>
      <w:r>
        <w:rPr>
          <w:rFonts w:hint="eastAsia" w:ascii="宋体" w:hAnsi="宋体"/>
          <w:color w:val="000000"/>
          <w:szCs w:val="24"/>
        </w:rPr>
        <w:t>果园地点：</w:t>
      </w:r>
      <w:r>
        <w:rPr>
          <w:rFonts w:hint="eastAsia" w:ascii="Times New Roman" w:hAnsi="Times New Roman"/>
          <w:color w:val="000000"/>
          <w:szCs w:val="24"/>
        </w:rPr>
        <w:t xml:space="preserve">            </w:t>
      </w:r>
      <w:r>
        <w:rPr>
          <w:rFonts w:hint="eastAsia" w:ascii="宋体" w:hAnsi="宋体"/>
          <w:color w:val="000000"/>
          <w:szCs w:val="24"/>
        </w:rPr>
        <w:t>记录年份：</w:t>
      </w:r>
      <w:r>
        <w:rPr>
          <w:rFonts w:hint="eastAsia" w:ascii="Times New Roman" w:hAnsi="Times New Roman"/>
          <w:color w:val="000000"/>
          <w:szCs w:val="24"/>
        </w:rPr>
        <w:t xml:space="preserve">                                  </w:t>
      </w:r>
    </w:p>
    <w:tbl>
      <w:tblPr>
        <w:tblStyle w:val="27"/>
        <w:tblW w:w="87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41"/>
        <w:gridCol w:w="1742"/>
        <w:gridCol w:w="1741"/>
        <w:gridCol w:w="1742"/>
        <w:gridCol w:w="1742"/>
      </w:tblGrid>
      <w:tr w14:paraId="10AA9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jc w:val="center"/>
        </w:trPr>
        <w:tc>
          <w:tcPr>
            <w:tcW w:w="1741" w:type="dxa"/>
            <w:tcBorders>
              <w:top w:val="single" w:color="000000" w:sz="4" w:space="0"/>
              <w:left w:val="single" w:color="000000" w:sz="4" w:space="0"/>
              <w:bottom w:val="single" w:color="000000" w:sz="4" w:space="0"/>
              <w:right w:val="single" w:color="000000" w:sz="4" w:space="0"/>
            </w:tcBorders>
            <w:vAlign w:val="center"/>
          </w:tcPr>
          <w:p w14:paraId="67E7B4C3">
            <w:pPr>
              <w:adjustRightInd/>
              <w:spacing w:line="240" w:lineRule="auto"/>
              <w:jc w:val="center"/>
              <w:rPr>
                <w:rFonts w:ascii="宋体" w:hAnsi="Times New Roman"/>
                <w:color w:val="000000"/>
                <w:szCs w:val="24"/>
              </w:rPr>
            </w:pPr>
            <w:r>
              <w:rPr>
                <w:rFonts w:hint="eastAsia" w:ascii="宋体" w:hAnsi="宋体"/>
                <w:color w:val="000000"/>
                <w:szCs w:val="24"/>
              </w:rPr>
              <w:t>品种</w:t>
            </w:r>
          </w:p>
        </w:tc>
        <w:tc>
          <w:tcPr>
            <w:tcW w:w="1742" w:type="dxa"/>
            <w:tcBorders>
              <w:top w:val="single" w:color="000000" w:sz="4" w:space="0"/>
              <w:left w:val="single" w:color="000000" w:sz="4" w:space="0"/>
              <w:bottom w:val="single" w:color="000000" w:sz="4" w:space="0"/>
              <w:right w:val="single" w:color="000000" w:sz="4" w:space="0"/>
            </w:tcBorders>
            <w:vAlign w:val="center"/>
          </w:tcPr>
          <w:p w14:paraId="3F0E8597">
            <w:pPr>
              <w:adjustRightInd/>
              <w:spacing w:line="240" w:lineRule="auto"/>
              <w:jc w:val="center"/>
              <w:rPr>
                <w:rFonts w:ascii="宋体" w:hAnsi="Times New Roman"/>
                <w:color w:val="000000"/>
                <w:szCs w:val="24"/>
              </w:rPr>
            </w:pPr>
            <w:r>
              <w:rPr>
                <w:rFonts w:hint="eastAsia" w:ascii="宋体" w:hAnsi="宋体"/>
                <w:color w:val="000000"/>
                <w:szCs w:val="24"/>
              </w:rPr>
              <w:t>树体萌芽期</w:t>
            </w:r>
          </w:p>
        </w:tc>
        <w:tc>
          <w:tcPr>
            <w:tcW w:w="1741" w:type="dxa"/>
            <w:tcBorders>
              <w:top w:val="single" w:color="000000" w:sz="4" w:space="0"/>
              <w:left w:val="single" w:color="000000" w:sz="4" w:space="0"/>
              <w:bottom w:val="single" w:color="000000" w:sz="4" w:space="0"/>
              <w:right w:val="single" w:color="000000" w:sz="4" w:space="0"/>
            </w:tcBorders>
            <w:vAlign w:val="center"/>
          </w:tcPr>
          <w:p w14:paraId="2B27C926">
            <w:pPr>
              <w:adjustRightInd/>
              <w:spacing w:line="240" w:lineRule="auto"/>
              <w:jc w:val="center"/>
              <w:rPr>
                <w:rFonts w:ascii="宋体" w:hAnsi="Times New Roman"/>
                <w:color w:val="000000"/>
                <w:szCs w:val="24"/>
              </w:rPr>
            </w:pPr>
            <w:r>
              <w:rPr>
                <w:rFonts w:hint="eastAsia" w:ascii="宋体" w:hAnsi="宋体"/>
                <w:color w:val="000000"/>
                <w:szCs w:val="24"/>
              </w:rPr>
              <w:t>开花期</w:t>
            </w:r>
          </w:p>
        </w:tc>
        <w:tc>
          <w:tcPr>
            <w:tcW w:w="1742" w:type="dxa"/>
            <w:tcBorders>
              <w:top w:val="single" w:color="000000" w:sz="4" w:space="0"/>
              <w:left w:val="single" w:color="000000" w:sz="4" w:space="0"/>
              <w:bottom w:val="single" w:color="000000" w:sz="4" w:space="0"/>
              <w:right w:val="single" w:color="000000" w:sz="4" w:space="0"/>
            </w:tcBorders>
            <w:vAlign w:val="center"/>
          </w:tcPr>
          <w:p w14:paraId="305C81BC">
            <w:pPr>
              <w:adjustRightInd/>
              <w:spacing w:line="240" w:lineRule="auto"/>
              <w:jc w:val="center"/>
              <w:rPr>
                <w:rFonts w:ascii="宋体" w:hAnsi="Times New Roman"/>
                <w:color w:val="000000"/>
                <w:szCs w:val="24"/>
              </w:rPr>
            </w:pPr>
            <w:r>
              <w:rPr>
                <w:rFonts w:hint="eastAsia" w:ascii="宋体" w:hAnsi="宋体"/>
                <w:color w:val="000000"/>
                <w:szCs w:val="24"/>
              </w:rPr>
              <w:t>果实成熟期</w:t>
            </w:r>
          </w:p>
        </w:tc>
        <w:tc>
          <w:tcPr>
            <w:tcW w:w="1742" w:type="dxa"/>
            <w:tcBorders>
              <w:top w:val="single" w:color="000000" w:sz="4" w:space="0"/>
              <w:left w:val="single" w:color="000000" w:sz="4" w:space="0"/>
              <w:bottom w:val="single" w:color="000000" w:sz="4" w:space="0"/>
              <w:right w:val="single" w:color="000000" w:sz="4" w:space="0"/>
            </w:tcBorders>
            <w:vAlign w:val="center"/>
          </w:tcPr>
          <w:p w14:paraId="67E9D559">
            <w:pPr>
              <w:adjustRightInd/>
              <w:spacing w:line="240" w:lineRule="auto"/>
              <w:jc w:val="center"/>
              <w:rPr>
                <w:rFonts w:ascii="宋体" w:hAnsi="Times New Roman"/>
                <w:color w:val="000000"/>
                <w:szCs w:val="24"/>
              </w:rPr>
            </w:pPr>
            <w:r>
              <w:rPr>
                <w:rFonts w:hint="eastAsia" w:ascii="宋体" w:hAnsi="宋体"/>
                <w:color w:val="000000"/>
                <w:szCs w:val="24"/>
              </w:rPr>
              <w:t>落叶期</w:t>
            </w:r>
          </w:p>
        </w:tc>
      </w:tr>
      <w:tr w14:paraId="46735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1741" w:type="dxa"/>
            <w:tcBorders>
              <w:top w:val="single" w:color="000000" w:sz="4" w:space="0"/>
              <w:left w:val="single" w:color="000000" w:sz="4" w:space="0"/>
              <w:bottom w:val="single" w:color="000000" w:sz="4" w:space="0"/>
              <w:right w:val="single" w:color="000000" w:sz="4" w:space="0"/>
            </w:tcBorders>
            <w:vAlign w:val="center"/>
          </w:tcPr>
          <w:p w14:paraId="7CA99E78">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12315DFA">
            <w:pPr>
              <w:adjustRightInd/>
              <w:spacing w:line="240" w:lineRule="auto"/>
              <w:jc w:val="center"/>
              <w:rPr>
                <w:rFonts w:ascii="宋体" w:hAnsi="Times New Roman"/>
                <w:color w:val="000000"/>
                <w:szCs w:val="24"/>
              </w:rPr>
            </w:pPr>
          </w:p>
        </w:tc>
        <w:tc>
          <w:tcPr>
            <w:tcW w:w="1741" w:type="dxa"/>
            <w:tcBorders>
              <w:top w:val="single" w:color="000000" w:sz="4" w:space="0"/>
              <w:left w:val="single" w:color="000000" w:sz="4" w:space="0"/>
              <w:bottom w:val="single" w:color="000000" w:sz="4" w:space="0"/>
              <w:right w:val="single" w:color="000000" w:sz="4" w:space="0"/>
            </w:tcBorders>
            <w:vAlign w:val="center"/>
          </w:tcPr>
          <w:p w14:paraId="0AEF0761">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0EFAD9A0">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487B8A3E">
            <w:pPr>
              <w:adjustRightInd/>
              <w:spacing w:line="240" w:lineRule="auto"/>
              <w:jc w:val="center"/>
              <w:rPr>
                <w:rFonts w:ascii="宋体" w:hAnsi="Times New Roman"/>
                <w:color w:val="000000"/>
                <w:szCs w:val="24"/>
              </w:rPr>
            </w:pPr>
          </w:p>
        </w:tc>
      </w:tr>
      <w:tr w14:paraId="36E4B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1741" w:type="dxa"/>
            <w:tcBorders>
              <w:top w:val="single" w:color="000000" w:sz="4" w:space="0"/>
              <w:left w:val="single" w:color="000000" w:sz="4" w:space="0"/>
              <w:bottom w:val="single" w:color="000000" w:sz="4" w:space="0"/>
              <w:right w:val="single" w:color="000000" w:sz="4" w:space="0"/>
            </w:tcBorders>
            <w:vAlign w:val="center"/>
          </w:tcPr>
          <w:p w14:paraId="512DFAA3">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6BF50D4A">
            <w:pPr>
              <w:adjustRightInd/>
              <w:spacing w:line="240" w:lineRule="auto"/>
              <w:jc w:val="center"/>
              <w:rPr>
                <w:rFonts w:ascii="宋体" w:hAnsi="Times New Roman"/>
                <w:color w:val="000000"/>
                <w:szCs w:val="24"/>
              </w:rPr>
            </w:pPr>
          </w:p>
        </w:tc>
        <w:tc>
          <w:tcPr>
            <w:tcW w:w="1741" w:type="dxa"/>
            <w:tcBorders>
              <w:top w:val="single" w:color="000000" w:sz="4" w:space="0"/>
              <w:left w:val="single" w:color="000000" w:sz="4" w:space="0"/>
              <w:bottom w:val="single" w:color="000000" w:sz="4" w:space="0"/>
              <w:right w:val="single" w:color="000000" w:sz="4" w:space="0"/>
            </w:tcBorders>
            <w:vAlign w:val="center"/>
          </w:tcPr>
          <w:p w14:paraId="330BB410">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63079E1B">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364958E9">
            <w:pPr>
              <w:adjustRightInd/>
              <w:spacing w:line="240" w:lineRule="auto"/>
              <w:jc w:val="center"/>
              <w:rPr>
                <w:rFonts w:ascii="宋体" w:hAnsi="Times New Roman"/>
                <w:color w:val="000000"/>
                <w:szCs w:val="24"/>
              </w:rPr>
            </w:pPr>
          </w:p>
        </w:tc>
      </w:tr>
      <w:tr w14:paraId="3E6E7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1741" w:type="dxa"/>
            <w:tcBorders>
              <w:top w:val="single" w:color="000000" w:sz="4" w:space="0"/>
              <w:left w:val="single" w:color="000000" w:sz="4" w:space="0"/>
              <w:bottom w:val="single" w:color="000000" w:sz="4" w:space="0"/>
              <w:right w:val="single" w:color="000000" w:sz="4" w:space="0"/>
            </w:tcBorders>
            <w:vAlign w:val="center"/>
          </w:tcPr>
          <w:p w14:paraId="7FC3B6DB">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124AD9BC">
            <w:pPr>
              <w:adjustRightInd/>
              <w:spacing w:line="240" w:lineRule="auto"/>
              <w:jc w:val="center"/>
              <w:rPr>
                <w:rFonts w:ascii="宋体" w:hAnsi="Times New Roman"/>
                <w:color w:val="000000"/>
                <w:szCs w:val="24"/>
              </w:rPr>
            </w:pPr>
          </w:p>
        </w:tc>
        <w:tc>
          <w:tcPr>
            <w:tcW w:w="1741" w:type="dxa"/>
            <w:tcBorders>
              <w:top w:val="single" w:color="000000" w:sz="4" w:space="0"/>
              <w:left w:val="single" w:color="000000" w:sz="4" w:space="0"/>
              <w:bottom w:val="single" w:color="000000" w:sz="4" w:space="0"/>
              <w:right w:val="single" w:color="000000" w:sz="4" w:space="0"/>
            </w:tcBorders>
            <w:vAlign w:val="center"/>
          </w:tcPr>
          <w:p w14:paraId="5C8FC39B">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12500800">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234F90B0">
            <w:pPr>
              <w:adjustRightInd/>
              <w:spacing w:line="240" w:lineRule="auto"/>
              <w:jc w:val="center"/>
              <w:rPr>
                <w:rFonts w:ascii="宋体" w:hAnsi="Times New Roman"/>
                <w:color w:val="000000"/>
                <w:szCs w:val="24"/>
              </w:rPr>
            </w:pPr>
          </w:p>
        </w:tc>
      </w:tr>
      <w:tr w14:paraId="5EA14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1741" w:type="dxa"/>
            <w:tcBorders>
              <w:top w:val="single" w:color="000000" w:sz="4" w:space="0"/>
              <w:left w:val="single" w:color="000000" w:sz="4" w:space="0"/>
              <w:bottom w:val="single" w:color="000000" w:sz="4" w:space="0"/>
              <w:right w:val="single" w:color="000000" w:sz="4" w:space="0"/>
            </w:tcBorders>
            <w:vAlign w:val="center"/>
          </w:tcPr>
          <w:p w14:paraId="2F892169">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3AD377C9">
            <w:pPr>
              <w:adjustRightInd/>
              <w:spacing w:line="240" w:lineRule="auto"/>
              <w:jc w:val="center"/>
              <w:rPr>
                <w:rFonts w:ascii="宋体" w:hAnsi="Times New Roman"/>
                <w:color w:val="000000"/>
                <w:szCs w:val="24"/>
              </w:rPr>
            </w:pPr>
          </w:p>
        </w:tc>
        <w:tc>
          <w:tcPr>
            <w:tcW w:w="1741" w:type="dxa"/>
            <w:tcBorders>
              <w:top w:val="single" w:color="000000" w:sz="4" w:space="0"/>
              <w:left w:val="single" w:color="000000" w:sz="4" w:space="0"/>
              <w:bottom w:val="single" w:color="000000" w:sz="4" w:space="0"/>
              <w:right w:val="single" w:color="000000" w:sz="4" w:space="0"/>
            </w:tcBorders>
            <w:vAlign w:val="center"/>
          </w:tcPr>
          <w:p w14:paraId="5DA72E2A">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71A2DA6B">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0FA240EC">
            <w:pPr>
              <w:adjustRightInd/>
              <w:spacing w:line="240" w:lineRule="auto"/>
              <w:jc w:val="center"/>
              <w:rPr>
                <w:rFonts w:ascii="宋体" w:hAnsi="Times New Roman"/>
                <w:color w:val="000000"/>
                <w:szCs w:val="24"/>
              </w:rPr>
            </w:pPr>
          </w:p>
        </w:tc>
      </w:tr>
      <w:tr w14:paraId="2421A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1741" w:type="dxa"/>
            <w:tcBorders>
              <w:top w:val="single" w:color="000000" w:sz="4" w:space="0"/>
              <w:left w:val="single" w:color="000000" w:sz="4" w:space="0"/>
              <w:bottom w:val="single" w:color="000000" w:sz="4" w:space="0"/>
              <w:right w:val="single" w:color="000000" w:sz="4" w:space="0"/>
            </w:tcBorders>
            <w:vAlign w:val="center"/>
          </w:tcPr>
          <w:p w14:paraId="6D761922">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66AF14AD">
            <w:pPr>
              <w:adjustRightInd/>
              <w:spacing w:line="240" w:lineRule="auto"/>
              <w:jc w:val="center"/>
              <w:rPr>
                <w:rFonts w:ascii="宋体" w:hAnsi="Times New Roman"/>
                <w:color w:val="000000"/>
                <w:szCs w:val="24"/>
              </w:rPr>
            </w:pPr>
          </w:p>
        </w:tc>
        <w:tc>
          <w:tcPr>
            <w:tcW w:w="1741" w:type="dxa"/>
            <w:tcBorders>
              <w:top w:val="single" w:color="000000" w:sz="4" w:space="0"/>
              <w:left w:val="single" w:color="000000" w:sz="4" w:space="0"/>
              <w:bottom w:val="single" w:color="000000" w:sz="4" w:space="0"/>
              <w:right w:val="single" w:color="000000" w:sz="4" w:space="0"/>
            </w:tcBorders>
            <w:vAlign w:val="center"/>
          </w:tcPr>
          <w:p w14:paraId="65B91D44">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09A4B38A">
            <w:pPr>
              <w:adjustRightInd/>
              <w:spacing w:line="240" w:lineRule="auto"/>
              <w:jc w:val="center"/>
              <w:rPr>
                <w:rFonts w:ascii="宋体" w:hAnsi="Times New Roman"/>
                <w:color w:val="000000"/>
                <w:szCs w:val="24"/>
              </w:rPr>
            </w:pPr>
          </w:p>
        </w:tc>
        <w:tc>
          <w:tcPr>
            <w:tcW w:w="1742" w:type="dxa"/>
            <w:tcBorders>
              <w:top w:val="single" w:color="000000" w:sz="4" w:space="0"/>
              <w:left w:val="single" w:color="000000" w:sz="4" w:space="0"/>
              <w:bottom w:val="single" w:color="000000" w:sz="4" w:space="0"/>
              <w:right w:val="single" w:color="000000" w:sz="4" w:space="0"/>
            </w:tcBorders>
            <w:vAlign w:val="center"/>
          </w:tcPr>
          <w:p w14:paraId="0E8875F3">
            <w:pPr>
              <w:adjustRightInd/>
              <w:spacing w:line="240" w:lineRule="auto"/>
              <w:jc w:val="center"/>
              <w:rPr>
                <w:rFonts w:ascii="宋体" w:hAnsi="Times New Roman"/>
                <w:color w:val="000000"/>
                <w:szCs w:val="24"/>
              </w:rPr>
            </w:pPr>
          </w:p>
        </w:tc>
      </w:tr>
    </w:tbl>
    <w:p w14:paraId="39837BE6">
      <w:pPr>
        <w:widowControl/>
        <w:tabs>
          <w:tab w:val="center" w:pos="4201"/>
          <w:tab w:val="right" w:leader="dot" w:pos="9298"/>
        </w:tabs>
        <w:autoSpaceDE w:val="0"/>
        <w:autoSpaceDN w:val="0"/>
        <w:adjustRightInd/>
        <w:spacing w:line="240" w:lineRule="auto"/>
        <w:rPr>
          <w:rFonts w:ascii="宋体" w:hAnsi="Times New Roman"/>
          <w:kern w:val="0"/>
          <w:szCs w:val="20"/>
        </w:rPr>
      </w:pPr>
    </w:p>
    <w:p w14:paraId="0434EABE">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表B</w:t>
      </w:r>
      <w:r>
        <w:rPr>
          <w:rFonts w:ascii="Times New Roman" w:hAnsi="Times New Roman"/>
          <w:kern w:val="0"/>
          <w:szCs w:val="20"/>
        </w:rPr>
        <w:t>.</w:t>
      </w:r>
      <w:r>
        <w:rPr>
          <w:rFonts w:hint="eastAsia" w:ascii="Times New Roman" w:hAnsi="Times New Roman"/>
          <w:kern w:val="0"/>
          <w:szCs w:val="20"/>
        </w:rPr>
        <w:t>2列出了扁桃果园工作日志的主要内容</w:t>
      </w:r>
      <w:r>
        <w:rPr>
          <w:rFonts w:ascii="Times New Roman" w:hAnsi="Times New Roman"/>
          <w:kern w:val="0"/>
          <w:szCs w:val="20"/>
        </w:rPr>
        <w:t>。</w:t>
      </w:r>
    </w:p>
    <w:p w14:paraId="7D1E39BC">
      <w:pPr>
        <w:tabs>
          <w:tab w:val="left" w:pos="0"/>
          <w:tab w:val="left" w:pos="180"/>
        </w:tabs>
        <w:adjustRightInd/>
        <w:spacing w:before="156" w:beforeLines="50" w:after="156" w:afterLines="50" w:line="240" w:lineRule="auto"/>
        <w:jc w:val="center"/>
        <w:rPr>
          <w:rFonts w:ascii="黑体" w:hAnsi="Times New Roman" w:eastAsia="黑体"/>
        </w:rPr>
      </w:pPr>
      <w:r>
        <w:rPr>
          <w:rFonts w:hint="eastAsia" w:ascii="黑体" w:hAnsi="Times New Roman" w:eastAsia="黑体"/>
        </w:rPr>
        <w:t>表B.2扁桃果园工作日志</w:t>
      </w:r>
    </w:p>
    <w:p w14:paraId="0B99E2C7">
      <w:pPr>
        <w:widowControl/>
        <w:tabs>
          <w:tab w:val="center" w:pos="4201"/>
          <w:tab w:val="right" w:leader="dot" w:pos="9298"/>
        </w:tabs>
        <w:autoSpaceDE w:val="0"/>
        <w:autoSpaceDN w:val="0"/>
        <w:adjustRightInd/>
        <w:spacing w:line="240" w:lineRule="auto"/>
        <w:ind w:firstLine="420" w:firstLineChars="200"/>
        <w:rPr>
          <w:rFonts w:ascii="宋体" w:hAnsi="Times New Roman"/>
          <w:color w:val="000000"/>
          <w:kern w:val="0"/>
          <w:szCs w:val="20"/>
        </w:rPr>
      </w:pPr>
      <w:r>
        <w:rPr>
          <w:rFonts w:hint="eastAsia" w:ascii="宋体" w:hAnsi="宋体"/>
          <w:color w:val="000000"/>
          <w:kern w:val="0"/>
          <w:szCs w:val="20"/>
        </w:rPr>
        <w:t>种植农户：</w:t>
      </w:r>
      <w:r>
        <w:rPr>
          <w:rFonts w:hint="eastAsia" w:ascii="宋体" w:hAnsi="Times New Roman"/>
          <w:color w:val="000000"/>
          <w:kern w:val="0"/>
          <w:szCs w:val="20"/>
        </w:rPr>
        <w:t xml:space="preserve">             </w:t>
      </w:r>
      <w:r>
        <w:rPr>
          <w:rFonts w:hint="eastAsia" w:ascii="宋体" w:hAnsi="宋体"/>
          <w:color w:val="000000"/>
          <w:kern w:val="0"/>
          <w:szCs w:val="20"/>
        </w:rPr>
        <w:t>种植面积：</w:t>
      </w:r>
      <w:r>
        <w:rPr>
          <w:rFonts w:hint="eastAsia" w:ascii="宋体" w:hAnsi="Times New Roman"/>
          <w:color w:val="000000"/>
          <w:kern w:val="0"/>
          <w:szCs w:val="20"/>
        </w:rPr>
        <w:t xml:space="preserve">              </w:t>
      </w:r>
      <w:r>
        <w:rPr>
          <w:rFonts w:hint="eastAsia" w:ascii="宋体" w:hAnsi="宋体"/>
          <w:color w:val="000000"/>
          <w:kern w:val="0"/>
          <w:szCs w:val="20"/>
        </w:rPr>
        <w:t>果园地点：</w:t>
      </w:r>
      <w:r>
        <w:rPr>
          <w:rFonts w:hint="eastAsia" w:ascii="宋体" w:hAnsi="Times New Roman"/>
          <w:color w:val="000000"/>
          <w:kern w:val="0"/>
          <w:szCs w:val="20"/>
        </w:rPr>
        <w:t xml:space="preserve">            </w:t>
      </w:r>
      <w:r>
        <w:rPr>
          <w:rFonts w:hint="eastAsia" w:ascii="宋体" w:hAnsi="宋体"/>
          <w:color w:val="000000"/>
          <w:kern w:val="0"/>
          <w:szCs w:val="20"/>
        </w:rPr>
        <w:t>记录年份：</w:t>
      </w:r>
    </w:p>
    <w:tbl>
      <w:tblPr>
        <w:tblStyle w:val="234"/>
        <w:tblW w:w="0" w:type="auto"/>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4"/>
        <w:gridCol w:w="1465"/>
        <w:gridCol w:w="1465"/>
        <w:gridCol w:w="3261"/>
        <w:gridCol w:w="1066"/>
      </w:tblGrid>
      <w:tr w14:paraId="28F2D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4" w:type="dxa"/>
          </w:tcPr>
          <w:p w14:paraId="299D9AFA">
            <w:pPr>
              <w:widowControl/>
              <w:tabs>
                <w:tab w:val="center" w:pos="4201"/>
                <w:tab w:val="right" w:leader="dot" w:pos="9298"/>
              </w:tabs>
              <w:autoSpaceDE w:val="0"/>
              <w:autoSpaceDN w:val="0"/>
              <w:adjustRightInd/>
              <w:spacing w:line="240" w:lineRule="auto"/>
              <w:jc w:val="center"/>
              <w:rPr>
                <w:rFonts w:ascii="宋体" w:hAnsi="Times New Roman"/>
                <w:kern w:val="0"/>
              </w:rPr>
            </w:pPr>
            <w:r>
              <w:rPr>
                <w:rFonts w:hint="eastAsia" w:ascii="宋体" w:hAnsi="Times New Roman"/>
                <w:kern w:val="0"/>
              </w:rPr>
              <w:t>时间</w:t>
            </w:r>
          </w:p>
        </w:tc>
        <w:tc>
          <w:tcPr>
            <w:tcW w:w="1465" w:type="dxa"/>
          </w:tcPr>
          <w:p w14:paraId="1E4F2284">
            <w:pPr>
              <w:widowControl/>
              <w:tabs>
                <w:tab w:val="center" w:pos="4201"/>
                <w:tab w:val="right" w:leader="dot" w:pos="9298"/>
              </w:tabs>
              <w:autoSpaceDE w:val="0"/>
              <w:autoSpaceDN w:val="0"/>
              <w:adjustRightInd/>
              <w:spacing w:line="240" w:lineRule="auto"/>
              <w:jc w:val="center"/>
              <w:rPr>
                <w:rFonts w:ascii="宋体" w:hAnsi="Times New Roman"/>
                <w:kern w:val="0"/>
              </w:rPr>
            </w:pPr>
            <w:r>
              <w:rPr>
                <w:rFonts w:hint="eastAsia" w:ascii="宋体" w:hAnsi="Times New Roman"/>
                <w:kern w:val="0"/>
              </w:rPr>
              <w:t>天气</w:t>
            </w:r>
          </w:p>
        </w:tc>
        <w:tc>
          <w:tcPr>
            <w:tcW w:w="1465" w:type="dxa"/>
          </w:tcPr>
          <w:p w14:paraId="5CEBF68C">
            <w:pPr>
              <w:widowControl/>
              <w:tabs>
                <w:tab w:val="center" w:pos="4201"/>
                <w:tab w:val="right" w:leader="dot" w:pos="9298"/>
              </w:tabs>
              <w:autoSpaceDE w:val="0"/>
              <w:autoSpaceDN w:val="0"/>
              <w:adjustRightInd/>
              <w:spacing w:line="240" w:lineRule="auto"/>
              <w:jc w:val="center"/>
              <w:rPr>
                <w:rFonts w:ascii="宋体" w:hAnsi="Times New Roman"/>
                <w:kern w:val="0"/>
              </w:rPr>
            </w:pPr>
            <w:r>
              <w:rPr>
                <w:rFonts w:hint="eastAsia" w:ascii="宋体" w:hAnsi="Times New Roman"/>
                <w:kern w:val="0"/>
              </w:rPr>
              <w:t>扁桃物候期</w:t>
            </w:r>
          </w:p>
        </w:tc>
        <w:tc>
          <w:tcPr>
            <w:tcW w:w="3261" w:type="dxa"/>
          </w:tcPr>
          <w:p w14:paraId="635E3578">
            <w:pPr>
              <w:widowControl/>
              <w:tabs>
                <w:tab w:val="center" w:pos="4201"/>
                <w:tab w:val="right" w:leader="dot" w:pos="9298"/>
              </w:tabs>
              <w:autoSpaceDE w:val="0"/>
              <w:autoSpaceDN w:val="0"/>
              <w:adjustRightInd/>
              <w:spacing w:line="240" w:lineRule="auto"/>
              <w:jc w:val="center"/>
              <w:rPr>
                <w:rFonts w:ascii="宋体" w:hAnsi="Times New Roman"/>
                <w:kern w:val="0"/>
              </w:rPr>
            </w:pPr>
            <w:r>
              <w:rPr>
                <w:rFonts w:hint="eastAsia" w:ascii="宋体" w:hAnsi="Times New Roman"/>
                <w:kern w:val="0"/>
              </w:rPr>
              <w:t>主要工作内容</w:t>
            </w:r>
          </w:p>
        </w:tc>
        <w:tc>
          <w:tcPr>
            <w:tcW w:w="1066" w:type="dxa"/>
          </w:tcPr>
          <w:p w14:paraId="303629EA">
            <w:pPr>
              <w:widowControl/>
              <w:tabs>
                <w:tab w:val="center" w:pos="4201"/>
                <w:tab w:val="right" w:leader="dot" w:pos="9298"/>
              </w:tabs>
              <w:autoSpaceDE w:val="0"/>
              <w:autoSpaceDN w:val="0"/>
              <w:adjustRightInd/>
              <w:spacing w:line="240" w:lineRule="auto"/>
              <w:jc w:val="center"/>
              <w:rPr>
                <w:rFonts w:ascii="宋体" w:hAnsi="Times New Roman"/>
                <w:kern w:val="0"/>
              </w:rPr>
            </w:pPr>
            <w:r>
              <w:rPr>
                <w:rFonts w:hint="eastAsia" w:ascii="宋体" w:hAnsi="Times New Roman"/>
                <w:kern w:val="0"/>
              </w:rPr>
              <w:t>备注</w:t>
            </w:r>
          </w:p>
        </w:tc>
      </w:tr>
      <w:tr w14:paraId="39B7E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4" w:type="dxa"/>
          </w:tcPr>
          <w:p w14:paraId="0630A89A">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13C0D87E">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683E0441">
            <w:pPr>
              <w:widowControl/>
              <w:tabs>
                <w:tab w:val="center" w:pos="4201"/>
                <w:tab w:val="right" w:leader="dot" w:pos="9298"/>
              </w:tabs>
              <w:autoSpaceDE w:val="0"/>
              <w:autoSpaceDN w:val="0"/>
              <w:adjustRightInd/>
              <w:spacing w:line="240" w:lineRule="auto"/>
              <w:rPr>
                <w:rFonts w:ascii="宋体" w:hAnsi="Times New Roman"/>
                <w:kern w:val="0"/>
              </w:rPr>
            </w:pPr>
          </w:p>
        </w:tc>
        <w:tc>
          <w:tcPr>
            <w:tcW w:w="3261" w:type="dxa"/>
          </w:tcPr>
          <w:p w14:paraId="2E363171">
            <w:pPr>
              <w:widowControl/>
              <w:tabs>
                <w:tab w:val="center" w:pos="4201"/>
                <w:tab w:val="right" w:leader="dot" w:pos="9298"/>
              </w:tabs>
              <w:autoSpaceDE w:val="0"/>
              <w:autoSpaceDN w:val="0"/>
              <w:adjustRightInd/>
              <w:spacing w:line="240" w:lineRule="auto"/>
              <w:rPr>
                <w:rFonts w:ascii="宋体" w:hAnsi="Times New Roman"/>
                <w:kern w:val="0"/>
              </w:rPr>
            </w:pPr>
          </w:p>
        </w:tc>
        <w:tc>
          <w:tcPr>
            <w:tcW w:w="1066" w:type="dxa"/>
          </w:tcPr>
          <w:p w14:paraId="7013913E">
            <w:pPr>
              <w:widowControl/>
              <w:tabs>
                <w:tab w:val="center" w:pos="4201"/>
                <w:tab w:val="right" w:leader="dot" w:pos="9298"/>
              </w:tabs>
              <w:autoSpaceDE w:val="0"/>
              <w:autoSpaceDN w:val="0"/>
              <w:adjustRightInd/>
              <w:spacing w:line="240" w:lineRule="auto"/>
              <w:rPr>
                <w:rFonts w:ascii="宋体" w:hAnsi="Times New Roman"/>
                <w:kern w:val="0"/>
              </w:rPr>
            </w:pPr>
          </w:p>
        </w:tc>
      </w:tr>
      <w:tr w14:paraId="5F00F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4" w:type="dxa"/>
          </w:tcPr>
          <w:p w14:paraId="5EECEBAB">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4219DC7B">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752C40F5">
            <w:pPr>
              <w:widowControl/>
              <w:tabs>
                <w:tab w:val="center" w:pos="4201"/>
                <w:tab w:val="right" w:leader="dot" w:pos="9298"/>
              </w:tabs>
              <w:autoSpaceDE w:val="0"/>
              <w:autoSpaceDN w:val="0"/>
              <w:adjustRightInd/>
              <w:spacing w:line="240" w:lineRule="auto"/>
              <w:rPr>
                <w:rFonts w:ascii="宋体" w:hAnsi="Times New Roman"/>
                <w:kern w:val="0"/>
              </w:rPr>
            </w:pPr>
          </w:p>
        </w:tc>
        <w:tc>
          <w:tcPr>
            <w:tcW w:w="3261" w:type="dxa"/>
          </w:tcPr>
          <w:p w14:paraId="3DC4F4E2">
            <w:pPr>
              <w:widowControl/>
              <w:tabs>
                <w:tab w:val="center" w:pos="4201"/>
                <w:tab w:val="right" w:leader="dot" w:pos="9298"/>
              </w:tabs>
              <w:autoSpaceDE w:val="0"/>
              <w:autoSpaceDN w:val="0"/>
              <w:adjustRightInd/>
              <w:spacing w:line="240" w:lineRule="auto"/>
              <w:rPr>
                <w:rFonts w:ascii="宋体" w:hAnsi="Times New Roman"/>
                <w:kern w:val="0"/>
              </w:rPr>
            </w:pPr>
          </w:p>
        </w:tc>
        <w:tc>
          <w:tcPr>
            <w:tcW w:w="1066" w:type="dxa"/>
          </w:tcPr>
          <w:p w14:paraId="47F361EF">
            <w:pPr>
              <w:widowControl/>
              <w:tabs>
                <w:tab w:val="center" w:pos="4201"/>
                <w:tab w:val="right" w:leader="dot" w:pos="9298"/>
              </w:tabs>
              <w:autoSpaceDE w:val="0"/>
              <w:autoSpaceDN w:val="0"/>
              <w:adjustRightInd/>
              <w:spacing w:line="240" w:lineRule="auto"/>
              <w:rPr>
                <w:rFonts w:ascii="宋体" w:hAnsi="Times New Roman"/>
                <w:kern w:val="0"/>
              </w:rPr>
            </w:pPr>
          </w:p>
        </w:tc>
      </w:tr>
      <w:tr w14:paraId="4EF28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4" w:type="dxa"/>
          </w:tcPr>
          <w:p w14:paraId="4298C15A">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793E5F86">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68E3A2F8">
            <w:pPr>
              <w:widowControl/>
              <w:tabs>
                <w:tab w:val="center" w:pos="4201"/>
                <w:tab w:val="right" w:leader="dot" w:pos="9298"/>
              </w:tabs>
              <w:autoSpaceDE w:val="0"/>
              <w:autoSpaceDN w:val="0"/>
              <w:adjustRightInd/>
              <w:spacing w:line="240" w:lineRule="auto"/>
              <w:rPr>
                <w:rFonts w:ascii="宋体" w:hAnsi="Times New Roman"/>
                <w:kern w:val="0"/>
              </w:rPr>
            </w:pPr>
          </w:p>
        </w:tc>
        <w:tc>
          <w:tcPr>
            <w:tcW w:w="3261" w:type="dxa"/>
          </w:tcPr>
          <w:p w14:paraId="7FEFF7B4">
            <w:pPr>
              <w:widowControl/>
              <w:tabs>
                <w:tab w:val="center" w:pos="4201"/>
                <w:tab w:val="right" w:leader="dot" w:pos="9298"/>
              </w:tabs>
              <w:autoSpaceDE w:val="0"/>
              <w:autoSpaceDN w:val="0"/>
              <w:adjustRightInd/>
              <w:spacing w:line="240" w:lineRule="auto"/>
              <w:rPr>
                <w:rFonts w:ascii="宋体" w:hAnsi="Times New Roman"/>
                <w:kern w:val="0"/>
              </w:rPr>
            </w:pPr>
          </w:p>
        </w:tc>
        <w:tc>
          <w:tcPr>
            <w:tcW w:w="1066" w:type="dxa"/>
          </w:tcPr>
          <w:p w14:paraId="33FEBF02">
            <w:pPr>
              <w:widowControl/>
              <w:tabs>
                <w:tab w:val="center" w:pos="4201"/>
                <w:tab w:val="right" w:leader="dot" w:pos="9298"/>
              </w:tabs>
              <w:autoSpaceDE w:val="0"/>
              <w:autoSpaceDN w:val="0"/>
              <w:adjustRightInd/>
              <w:spacing w:line="240" w:lineRule="auto"/>
              <w:rPr>
                <w:rFonts w:ascii="宋体" w:hAnsi="Times New Roman"/>
                <w:kern w:val="0"/>
              </w:rPr>
            </w:pPr>
          </w:p>
        </w:tc>
      </w:tr>
      <w:tr w14:paraId="133C4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4" w:type="dxa"/>
          </w:tcPr>
          <w:p w14:paraId="49CDCEC3">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7781E288">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4CDC777D">
            <w:pPr>
              <w:widowControl/>
              <w:tabs>
                <w:tab w:val="center" w:pos="4201"/>
                <w:tab w:val="right" w:leader="dot" w:pos="9298"/>
              </w:tabs>
              <w:autoSpaceDE w:val="0"/>
              <w:autoSpaceDN w:val="0"/>
              <w:adjustRightInd/>
              <w:spacing w:line="240" w:lineRule="auto"/>
              <w:rPr>
                <w:rFonts w:ascii="宋体" w:hAnsi="Times New Roman"/>
                <w:kern w:val="0"/>
              </w:rPr>
            </w:pPr>
          </w:p>
        </w:tc>
        <w:tc>
          <w:tcPr>
            <w:tcW w:w="3261" w:type="dxa"/>
          </w:tcPr>
          <w:p w14:paraId="40E0C875">
            <w:pPr>
              <w:widowControl/>
              <w:tabs>
                <w:tab w:val="center" w:pos="4201"/>
                <w:tab w:val="right" w:leader="dot" w:pos="9298"/>
              </w:tabs>
              <w:autoSpaceDE w:val="0"/>
              <w:autoSpaceDN w:val="0"/>
              <w:adjustRightInd/>
              <w:spacing w:line="240" w:lineRule="auto"/>
              <w:rPr>
                <w:rFonts w:ascii="宋体" w:hAnsi="Times New Roman"/>
                <w:kern w:val="0"/>
              </w:rPr>
            </w:pPr>
          </w:p>
        </w:tc>
        <w:tc>
          <w:tcPr>
            <w:tcW w:w="1066" w:type="dxa"/>
          </w:tcPr>
          <w:p w14:paraId="0A770660">
            <w:pPr>
              <w:widowControl/>
              <w:tabs>
                <w:tab w:val="center" w:pos="4201"/>
                <w:tab w:val="right" w:leader="dot" w:pos="9298"/>
              </w:tabs>
              <w:autoSpaceDE w:val="0"/>
              <w:autoSpaceDN w:val="0"/>
              <w:adjustRightInd/>
              <w:spacing w:line="240" w:lineRule="auto"/>
              <w:rPr>
                <w:rFonts w:ascii="宋体" w:hAnsi="Times New Roman"/>
                <w:kern w:val="0"/>
              </w:rPr>
            </w:pPr>
          </w:p>
        </w:tc>
      </w:tr>
      <w:tr w14:paraId="2F18D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4" w:type="dxa"/>
          </w:tcPr>
          <w:p w14:paraId="0B02B7C4">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02509494">
            <w:pPr>
              <w:widowControl/>
              <w:tabs>
                <w:tab w:val="center" w:pos="4201"/>
                <w:tab w:val="right" w:leader="dot" w:pos="9298"/>
              </w:tabs>
              <w:autoSpaceDE w:val="0"/>
              <w:autoSpaceDN w:val="0"/>
              <w:adjustRightInd/>
              <w:spacing w:line="240" w:lineRule="auto"/>
              <w:rPr>
                <w:rFonts w:ascii="宋体" w:hAnsi="Times New Roman"/>
                <w:kern w:val="0"/>
              </w:rPr>
            </w:pPr>
          </w:p>
        </w:tc>
        <w:tc>
          <w:tcPr>
            <w:tcW w:w="1465" w:type="dxa"/>
          </w:tcPr>
          <w:p w14:paraId="686091FC">
            <w:pPr>
              <w:widowControl/>
              <w:tabs>
                <w:tab w:val="center" w:pos="4201"/>
                <w:tab w:val="right" w:leader="dot" w:pos="9298"/>
              </w:tabs>
              <w:autoSpaceDE w:val="0"/>
              <w:autoSpaceDN w:val="0"/>
              <w:adjustRightInd/>
              <w:spacing w:line="240" w:lineRule="auto"/>
              <w:rPr>
                <w:rFonts w:ascii="宋体" w:hAnsi="Times New Roman"/>
                <w:kern w:val="0"/>
              </w:rPr>
            </w:pPr>
          </w:p>
        </w:tc>
        <w:tc>
          <w:tcPr>
            <w:tcW w:w="3261" w:type="dxa"/>
          </w:tcPr>
          <w:p w14:paraId="5BCD4E6F">
            <w:pPr>
              <w:widowControl/>
              <w:tabs>
                <w:tab w:val="center" w:pos="4201"/>
                <w:tab w:val="right" w:leader="dot" w:pos="9298"/>
              </w:tabs>
              <w:autoSpaceDE w:val="0"/>
              <w:autoSpaceDN w:val="0"/>
              <w:adjustRightInd/>
              <w:spacing w:line="240" w:lineRule="auto"/>
              <w:rPr>
                <w:rFonts w:ascii="宋体" w:hAnsi="Times New Roman"/>
                <w:kern w:val="0"/>
              </w:rPr>
            </w:pPr>
          </w:p>
        </w:tc>
        <w:tc>
          <w:tcPr>
            <w:tcW w:w="1066" w:type="dxa"/>
          </w:tcPr>
          <w:p w14:paraId="6E46D9A7">
            <w:pPr>
              <w:widowControl/>
              <w:tabs>
                <w:tab w:val="center" w:pos="4201"/>
                <w:tab w:val="right" w:leader="dot" w:pos="9298"/>
              </w:tabs>
              <w:autoSpaceDE w:val="0"/>
              <w:autoSpaceDN w:val="0"/>
              <w:adjustRightInd/>
              <w:spacing w:line="240" w:lineRule="auto"/>
              <w:rPr>
                <w:rFonts w:ascii="宋体" w:hAnsi="Times New Roman"/>
                <w:kern w:val="0"/>
              </w:rPr>
            </w:pPr>
          </w:p>
        </w:tc>
      </w:tr>
    </w:tbl>
    <w:p w14:paraId="676FEF11">
      <w:pPr>
        <w:widowControl/>
        <w:tabs>
          <w:tab w:val="center" w:pos="4201"/>
          <w:tab w:val="right" w:leader="dot" w:pos="9298"/>
        </w:tabs>
        <w:autoSpaceDE w:val="0"/>
        <w:autoSpaceDN w:val="0"/>
        <w:adjustRightInd/>
        <w:spacing w:line="240" w:lineRule="auto"/>
        <w:rPr>
          <w:rFonts w:ascii="宋体" w:hAnsi="Times New Roman"/>
          <w:kern w:val="0"/>
          <w:szCs w:val="20"/>
        </w:rPr>
      </w:pPr>
    </w:p>
    <w:p w14:paraId="4C333A70">
      <w:pPr>
        <w:widowControl/>
        <w:tabs>
          <w:tab w:val="center" w:pos="4201"/>
          <w:tab w:val="right" w:leader="dot" w:pos="9298"/>
        </w:tabs>
        <w:autoSpaceDE w:val="0"/>
        <w:autoSpaceDN w:val="0"/>
        <w:adjustRightInd/>
        <w:spacing w:line="240" w:lineRule="auto"/>
        <w:rPr>
          <w:rFonts w:ascii="宋体" w:hAnsi="Times New Roman"/>
          <w:kern w:val="0"/>
          <w:szCs w:val="20"/>
        </w:rPr>
      </w:pPr>
    </w:p>
    <w:p w14:paraId="6455BDAA">
      <w:pPr>
        <w:widowControl/>
        <w:tabs>
          <w:tab w:val="center" w:pos="4201"/>
          <w:tab w:val="right" w:leader="dot" w:pos="9298"/>
        </w:tabs>
        <w:autoSpaceDE w:val="0"/>
        <w:autoSpaceDN w:val="0"/>
        <w:adjustRightInd/>
        <w:spacing w:line="240" w:lineRule="auto"/>
        <w:rPr>
          <w:rFonts w:ascii="宋体" w:hAnsi="Times New Roman"/>
          <w:kern w:val="0"/>
          <w:szCs w:val="20"/>
        </w:rPr>
      </w:pPr>
    </w:p>
    <w:p w14:paraId="485A20F0">
      <w:pPr>
        <w:widowControl/>
        <w:tabs>
          <w:tab w:val="center" w:pos="4201"/>
          <w:tab w:val="right" w:leader="dot" w:pos="9298"/>
        </w:tabs>
        <w:autoSpaceDE w:val="0"/>
        <w:autoSpaceDN w:val="0"/>
        <w:adjustRightInd/>
        <w:spacing w:line="240" w:lineRule="auto"/>
        <w:rPr>
          <w:rFonts w:ascii="宋体" w:hAnsi="Times New Roman"/>
          <w:kern w:val="0"/>
          <w:szCs w:val="20"/>
        </w:rPr>
      </w:pPr>
    </w:p>
    <w:p w14:paraId="44AE6C88">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p>
    <w:p w14:paraId="728672F9">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p>
    <w:bookmarkEnd w:id="30"/>
    <w:p w14:paraId="2AF5A4EF">
      <w:pPr>
        <w:adjustRightInd/>
        <w:spacing w:line="240" w:lineRule="auto"/>
        <w:jc w:val="center"/>
        <w:rPr>
          <w:rFonts w:ascii="Times New Roman" w:hAnsi="Times New Roman"/>
          <w:szCs w:val="24"/>
        </w:rPr>
      </w:pPr>
      <w:bookmarkStart w:id="125" w:name="BookMark8"/>
      <w:r>
        <w:rPr>
          <w:rFonts w:ascii="Times New Roman" w:hAnsi="Times New Roman"/>
          <w:szCs w:val="24"/>
        </w:rPr>
        <w:drawing>
          <wp:inline distT="0" distB="0" distL="0" distR="0">
            <wp:extent cx="1485900" cy="317500"/>
            <wp:effectExtent l="0" t="0" r="0" b="0"/>
            <wp:docPr id="822079300" name="图片 2"/>
            <wp:cNvGraphicFramePr/>
            <a:graphic xmlns:a="http://schemas.openxmlformats.org/drawingml/2006/main">
              <a:graphicData uri="http://schemas.openxmlformats.org/drawingml/2006/picture">
                <pic:pic xmlns:pic="http://schemas.openxmlformats.org/drawingml/2006/picture">
                  <pic:nvPicPr>
                    <pic:cNvPr id="822079300"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5"/>
    </w:p>
    <w:sectPr>
      <w:headerReference r:id="rId12" w:type="default"/>
      <w:footerReference r:id="rId13" w:type="default"/>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F481A">
    <w:pPr>
      <w:pStyle w:val="18"/>
    </w:pPr>
    <w:r>
      <w:fldChar w:fldCharType="begin"/>
    </w:r>
    <w:r>
      <w:instrText xml:space="preserve">PAGE   \* MERGEFORMAT</w:instrText>
    </w:r>
    <w:r>
      <w:fldChar w:fldCharType="separate"/>
    </w:r>
    <w:r>
      <w:rPr>
        <w:lang w:val="zh-CN"/>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E2AF1">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566C">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B49E">
    <w:pPr>
      <w:pStyle w:val="53"/>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AF76B">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34284">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6F62B">
    <w:pPr>
      <w:pStyle w:val="62"/>
      <w:rPr>
        <w:rFonts w:hint="eastAsia"/>
      </w:rPr>
    </w:pPr>
    <w:r>
      <w:fldChar w:fldCharType="begin"/>
    </w:r>
    <w:r>
      <w:instrText xml:space="preserve"> STYLEREF  标准文件_文件编号  \* MERGEFORMAT </w:instrText>
    </w:r>
    <w:r>
      <w:fldChar w:fldCharType="separate"/>
    </w:r>
    <w:r>
      <w:t>DB14/T 1126—XXXX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AAE74">
    <w:pPr>
      <w:pStyle w:val="19"/>
      <w:jc w:val="right"/>
      <w:rPr>
        <w:lang w:val="fr-FR"/>
      </w:rPr>
    </w:pPr>
    <w:r>
      <w:fldChar w:fldCharType="begin"/>
    </w:r>
    <w:r>
      <w:instrText xml:space="preserve"> STYLEREF  标准文件_文件编号  \* MERGEFORMAT </w:instrText>
    </w:r>
    <w:r>
      <w:fldChar w:fldCharType="separate"/>
    </w:r>
    <w:r>
      <w:t>DB14/T 1126—XXXX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E4E42">
    <w:pPr>
      <w:pStyle w:val="62"/>
      <w:rPr>
        <w:rFonts w:hint="eastAsia"/>
      </w:rPr>
    </w:pPr>
    <w:r>
      <w:fldChar w:fldCharType="begin"/>
    </w:r>
    <w:r>
      <w:instrText xml:space="preserve"> STYLEREF  标准文件_文件编号  \* MERGEFORMAT </w:instrText>
    </w:r>
    <w:r>
      <w:fldChar w:fldCharType="separate"/>
    </w:r>
    <w:r>
      <w:t>DB14/T 1126—XXXX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7938"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1276"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3427BC"/>
    <w:rsid w:val="0000040A"/>
    <w:rsid w:val="00000A94"/>
    <w:rsid w:val="00001972"/>
    <w:rsid w:val="00001D9A"/>
    <w:rsid w:val="00007B3A"/>
    <w:rsid w:val="000107E0"/>
    <w:rsid w:val="00011FDE"/>
    <w:rsid w:val="00012FFD"/>
    <w:rsid w:val="00014162"/>
    <w:rsid w:val="00014340"/>
    <w:rsid w:val="00015A64"/>
    <w:rsid w:val="00016A9C"/>
    <w:rsid w:val="000217E1"/>
    <w:rsid w:val="00021D4E"/>
    <w:rsid w:val="00022184"/>
    <w:rsid w:val="000223D4"/>
    <w:rsid w:val="00022762"/>
    <w:rsid w:val="000238E0"/>
    <w:rsid w:val="000249DB"/>
    <w:rsid w:val="0002595E"/>
    <w:rsid w:val="00025EB6"/>
    <w:rsid w:val="000303C3"/>
    <w:rsid w:val="000322E7"/>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4C3"/>
    <w:rsid w:val="00066719"/>
    <w:rsid w:val="00067F1E"/>
    <w:rsid w:val="00071CC0"/>
    <w:rsid w:val="00073C8C"/>
    <w:rsid w:val="00077B64"/>
    <w:rsid w:val="00080A1C"/>
    <w:rsid w:val="00082317"/>
    <w:rsid w:val="00083D2C"/>
    <w:rsid w:val="00086AA1"/>
    <w:rsid w:val="00087A77"/>
    <w:rsid w:val="00090CA6"/>
    <w:rsid w:val="00090F4A"/>
    <w:rsid w:val="00092B8A"/>
    <w:rsid w:val="00092FB0"/>
    <w:rsid w:val="000934C5"/>
    <w:rsid w:val="00093D25"/>
    <w:rsid w:val="00093DAB"/>
    <w:rsid w:val="00094D73"/>
    <w:rsid w:val="00096D63"/>
    <w:rsid w:val="000A0B60"/>
    <w:rsid w:val="000A0EB8"/>
    <w:rsid w:val="000A19FC"/>
    <w:rsid w:val="000A296B"/>
    <w:rsid w:val="000A2DF5"/>
    <w:rsid w:val="000A7311"/>
    <w:rsid w:val="000B060F"/>
    <w:rsid w:val="000B1592"/>
    <w:rsid w:val="000B1FF2"/>
    <w:rsid w:val="000B3CDA"/>
    <w:rsid w:val="000B6A0B"/>
    <w:rsid w:val="000C0F6C"/>
    <w:rsid w:val="000C11DB"/>
    <w:rsid w:val="000C1492"/>
    <w:rsid w:val="000C2701"/>
    <w:rsid w:val="000C2FBD"/>
    <w:rsid w:val="000C4B41"/>
    <w:rsid w:val="000C555A"/>
    <w:rsid w:val="000C57D6"/>
    <w:rsid w:val="000C6362"/>
    <w:rsid w:val="000C7666"/>
    <w:rsid w:val="000D0A9C"/>
    <w:rsid w:val="000D1795"/>
    <w:rsid w:val="000D1852"/>
    <w:rsid w:val="000D329A"/>
    <w:rsid w:val="000D4B9C"/>
    <w:rsid w:val="000D4EB6"/>
    <w:rsid w:val="000D753B"/>
    <w:rsid w:val="000E0118"/>
    <w:rsid w:val="000E0D23"/>
    <w:rsid w:val="000E4C9E"/>
    <w:rsid w:val="000E5515"/>
    <w:rsid w:val="000E6FD7"/>
    <w:rsid w:val="000E7437"/>
    <w:rsid w:val="000F06E1"/>
    <w:rsid w:val="000F0E3C"/>
    <w:rsid w:val="000F19D5"/>
    <w:rsid w:val="000F4AEA"/>
    <w:rsid w:val="000F633F"/>
    <w:rsid w:val="000F67E9"/>
    <w:rsid w:val="00104926"/>
    <w:rsid w:val="00113B1E"/>
    <w:rsid w:val="0011711C"/>
    <w:rsid w:val="0012059C"/>
    <w:rsid w:val="00120A78"/>
    <w:rsid w:val="001245EE"/>
    <w:rsid w:val="00124E4F"/>
    <w:rsid w:val="001260B7"/>
    <w:rsid w:val="001265CB"/>
    <w:rsid w:val="001321C6"/>
    <w:rsid w:val="001325C4"/>
    <w:rsid w:val="00133010"/>
    <w:rsid w:val="001336B4"/>
    <w:rsid w:val="001338EE"/>
    <w:rsid w:val="00133AAE"/>
    <w:rsid w:val="00135323"/>
    <w:rsid w:val="001356C4"/>
    <w:rsid w:val="00141114"/>
    <w:rsid w:val="00142969"/>
    <w:rsid w:val="001446C2"/>
    <w:rsid w:val="00145540"/>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D58"/>
    <w:rsid w:val="00165F49"/>
    <w:rsid w:val="00166B88"/>
    <w:rsid w:val="0016770A"/>
    <w:rsid w:val="00170804"/>
    <w:rsid w:val="001708E9"/>
    <w:rsid w:val="0017340B"/>
    <w:rsid w:val="00173FB1"/>
    <w:rsid w:val="00176DFD"/>
    <w:rsid w:val="001852C9"/>
    <w:rsid w:val="00190087"/>
    <w:rsid w:val="001913C4"/>
    <w:rsid w:val="001914AD"/>
    <w:rsid w:val="0019348F"/>
    <w:rsid w:val="00193A07"/>
    <w:rsid w:val="00193B28"/>
    <w:rsid w:val="00194C95"/>
    <w:rsid w:val="00195C34"/>
    <w:rsid w:val="00196EF5"/>
    <w:rsid w:val="001A1A53"/>
    <w:rsid w:val="001A234A"/>
    <w:rsid w:val="001A4CF3"/>
    <w:rsid w:val="001B06E8"/>
    <w:rsid w:val="001B69DF"/>
    <w:rsid w:val="001B71D0"/>
    <w:rsid w:val="001B71EE"/>
    <w:rsid w:val="001C04A8"/>
    <w:rsid w:val="001C2C03"/>
    <w:rsid w:val="001C42F7"/>
    <w:rsid w:val="001C49E5"/>
    <w:rsid w:val="001C5B30"/>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8D8"/>
    <w:rsid w:val="0020107D"/>
    <w:rsid w:val="00202AA4"/>
    <w:rsid w:val="002031F7"/>
    <w:rsid w:val="002040E6"/>
    <w:rsid w:val="0020527B"/>
    <w:rsid w:val="00205F2C"/>
    <w:rsid w:val="00210B15"/>
    <w:rsid w:val="002142EA"/>
    <w:rsid w:val="002204BB"/>
    <w:rsid w:val="00221B79"/>
    <w:rsid w:val="00221C6B"/>
    <w:rsid w:val="00222D0C"/>
    <w:rsid w:val="0022399E"/>
    <w:rsid w:val="002253A1"/>
    <w:rsid w:val="00225CF8"/>
    <w:rsid w:val="0022794E"/>
    <w:rsid w:val="00233D64"/>
    <w:rsid w:val="0023482A"/>
    <w:rsid w:val="002359CB"/>
    <w:rsid w:val="00243540"/>
    <w:rsid w:val="0024497B"/>
    <w:rsid w:val="0024515B"/>
    <w:rsid w:val="00246021"/>
    <w:rsid w:val="0024666E"/>
    <w:rsid w:val="00247F52"/>
    <w:rsid w:val="00250964"/>
    <w:rsid w:val="00250B25"/>
    <w:rsid w:val="00250BBE"/>
    <w:rsid w:val="002515C2"/>
    <w:rsid w:val="0025194F"/>
    <w:rsid w:val="002544E3"/>
    <w:rsid w:val="00257598"/>
    <w:rsid w:val="00261278"/>
    <w:rsid w:val="0026148A"/>
    <w:rsid w:val="00262696"/>
    <w:rsid w:val="00263D25"/>
    <w:rsid w:val="002643C3"/>
    <w:rsid w:val="00264A0C"/>
    <w:rsid w:val="00266EEB"/>
    <w:rsid w:val="00267EF4"/>
    <w:rsid w:val="00270CB8"/>
    <w:rsid w:val="00272B08"/>
    <w:rsid w:val="0027600E"/>
    <w:rsid w:val="00281BB8"/>
    <w:rsid w:val="00281E9E"/>
    <w:rsid w:val="00282405"/>
    <w:rsid w:val="00283B2C"/>
    <w:rsid w:val="00285170"/>
    <w:rsid w:val="00285361"/>
    <w:rsid w:val="00292A94"/>
    <w:rsid w:val="00292D60"/>
    <w:rsid w:val="00293B30"/>
    <w:rsid w:val="00294D34"/>
    <w:rsid w:val="00294E3B"/>
    <w:rsid w:val="00296193"/>
    <w:rsid w:val="00296C66"/>
    <w:rsid w:val="00296EBE"/>
    <w:rsid w:val="002974E3"/>
    <w:rsid w:val="002A084B"/>
    <w:rsid w:val="002A1260"/>
    <w:rsid w:val="002A1589"/>
    <w:rsid w:val="002A1608"/>
    <w:rsid w:val="002A25DC"/>
    <w:rsid w:val="002A31B2"/>
    <w:rsid w:val="002A3AAB"/>
    <w:rsid w:val="002A4CEA"/>
    <w:rsid w:val="002A5977"/>
    <w:rsid w:val="002A5A13"/>
    <w:rsid w:val="002A6998"/>
    <w:rsid w:val="002A757F"/>
    <w:rsid w:val="002A7F44"/>
    <w:rsid w:val="002B00E0"/>
    <w:rsid w:val="002B0C40"/>
    <w:rsid w:val="002B1966"/>
    <w:rsid w:val="002B372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A83"/>
    <w:rsid w:val="002E4D5A"/>
    <w:rsid w:val="002E6326"/>
    <w:rsid w:val="002F30E0"/>
    <w:rsid w:val="002F35E4"/>
    <w:rsid w:val="002F3730"/>
    <w:rsid w:val="002F38E1"/>
    <w:rsid w:val="002F7AF6"/>
    <w:rsid w:val="00300E63"/>
    <w:rsid w:val="00302F5F"/>
    <w:rsid w:val="0030441D"/>
    <w:rsid w:val="00306063"/>
    <w:rsid w:val="003125A7"/>
    <w:rsid w:val="00312BE1"/>
    <w:rsid w:val="00313B85"/>
    <w:rsid w:val="003175C5"/>
    <w:rsid w:val="00317988"/>
    <w:rsid w:val="003221B4"/>
    <w:rsid w:val="0032258D"/>
    <w:rsid w:val="00322E62"/>
    <w:rsid w:val="00324D13"/>
    <w:rsid w:val="00324D2A"/>
    <w:rsid w:val="00324EDD"/>
    <w:rsid w:val="003331E4"/>
    <w:rsid w:val="00333C21"/>
    <w:rsid w:val="003369C9"/>
    <w:rsid w:val="00336C64"/>
    <w:rsid w:val="00337162"/>
    <w:rsid w:val="003379E0"/>
    <w:rsid w:val="0034194F"/>
    <w:rsid w:val="003427BC"/>
    <w:rsid w:val="00344605"/>
    <w:rsid w:val="003474AA"/>
    <w:rsid w:val="00350D1D"/>
    <w:rsid w:val="00352C83"/>
    <w:rsid w:val="00354C11"/>
    <w:rsid w:val="003615D2"/>
    <w:rsid w:val="00362B2F"/>
    <w:rsid w:val="0036429C"/>
    <w:rsid w:val="0036465E"/>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20A"/>
    <w:rsid w:val="003974EB"/>
    <w:rsid w:val="00397CC5"/>
    <w:rsid w:val="003A1582"/>
    <w:rsid w:val="003A4077"/>
    <w:rsid w:val="003B09AD"/>
    <w:rsid w:val="003B1F18"/>
    <w:rsid w:val="003B5BF0"/>
    <w:rsid w:val="003B60BF"/>
    <w:rsid w:val="003B6BE3"/>
    <w:rsid w:val="003C010C"/>
    <w:rsid w:val="003C0A6C"/>
    <w:rsid w:val="003C14F8"/>
    <w:rsid w:val="003C23B8"/>
    <w:rsid w:val="003C5A43"/>
    <w:rsid w:val="003C7311"/>
    <w:rsid w:val="003D0335"/>
    <w:rsid w:val="003D0519"/>
    <w:rsid w:val="003D0FF6"/>
    <w:rsid w:val="003D262C"/>
    <w:rsid w:val="003D6D61"/>
    <w:rsid w:val="003E091D"/>
    <w:rsid w:val="003E1C53"/>
    <w:rsid w:val="003E2A69"/>
    <w:rsid w:val="003E2D49"/>
    <w:rsid w:val="003E2FD4"/>
    <w:rsid w:val="003E49F6"/>
    <w:rsid w:val="003E660F"/>
    <w:rsid w:val="003F0841"/>
    <w:rsid w:val="003F08DA"/>
    <w:rsid w:val="003F23D3"/>
    <w:rsid w:val="003F29A3"/>
    <w:rsid w:val="003F3F08"/>
    <w:rsid w:val="003F49F1"/>
    <w:rsid w:val="003F6272"/>
    <w:rsid w:val="00400D3D"/>
    <w:rsid w:val="00400E72"/>
    <w:rsid w:val="00401400"/>
    <w:rsid w:val="00403D85"/>
    <w:rsid w:val="00404869"/>
    <w:rsid w:val="00405884"/>
    <w:rsid w:val="004078D1"/>
    <w:rsid w:val="00407D39"/>
    <w:rsid w:val="0041477A"/>
    <w:rsid w:val="00414FB4"/>
    <w:rsid w:val="004167A3"/>
    <w:rsid w:val="00432DAA"/>
    <w:rsid w:val="00434305"/>
    <w:rsid w:val="00435DF7"/>
    <w:rsid w:val="00437B39"/>
    <w:rsid w:val="0044083F"/>
    <w:rsid w:val="00441AE7"/>
    <w:rsid w:val="004437BC"/>
    <w:rsid w:val="00445574"/>
    <w:rsid w:val="004467FB"/>
    <w:rsid w:val="004472D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F8F"/>
    <w:rsid w:val="004905E4"/>
    <w:rsid w:val="00490A89"/>
    <w:rsid w:val="00490AB4"/>
    <w:rsid w:val="00492831"/>
    <w:rsid w:val="00492F02"/>
    <w:rsid w:val="004939AE"/>
    <w:rsid w:val="004A12DF"/>
    <w:rsid w:val="004A17E6"/>
    <w:rsid w:val="004A1BA8"/>
    <w:rsid w:val="004A4B57"/>
    <w:rsid w:val="004A63FA"/>
    <w:rsid w:val="004A6DE3"/>
    <w:rsid w:val="004A7AA9"/>
    <w:rsid w:val="004B0272"/>
    <w:rsid w:val="004B2701"/>
    <w:rsid w:val="004B2E1B"/>
    <w:rsid w:val="004B3AA8"/>
    <w:rsid w:val="004B3E93"/>
    <w:rsid w:val="004B4BAA"/>
    <w:rsid w:val="004C1FBC"/>
    <w:rsid w:val="004C3F1D"/>
    <w:rsid w:val="004C40EE"/>
    <w:rsid w:val="004C458D"/>
    <w:rsid w:val="004C7556"/>
    <w:rsid w:val="004C7E8B"/>
    <w:rsid w:val="004C7E9D"/>
    <w:rsid w:val="004C7F67"/>
    <w:rsid w:val="004D076D"/>
    <w:rsid w:val="004D0EF1"/>
    <w:rsid w:val="004D2253"/>
    <w:rsid w:val="004D4406"/>
    <w:rsid w:val="004D7C42"/>
    <w:rsid w:val="004E0465"/>
    <w:rsid w:val="004E127B"/>
    <w:rsid w:val="004E1C0A"/>
    <w:rsid w:val="004E2977"/>
    <w:rsid w:val="004E2B06"/>
    <w:rsid w:val="004E30C5"/>
    <w:rsid w:val="004E4AA5"/>
    <w:rsid w:val="004E4AEE"/>
    <w:rsid w:val="004E53B8"/>
    <w:rsid w:val="004E59E3"/>
    <w:rsid w:val="004E6217"/>
    <w:rsid w:val="004E67C0"/>
    <w:rsid w:val="004F2386"/>
    <w:rsid w:val="004F391A"/>
    <w:rsid w:val="004F3CFB"/>
    <w:rsid w:val="004F6456"/>
    <w:rsid w:val="004F696E"/>
    <w:rsid w:val="004F6C71"/>
    <w:rsid w:val="00501139"/>
    <w:rsid w:val="0050363E"/>
    <w:rsid w:val="005039BC"/>
    <w:rsid w:val="005043BB"/>
    <w:rsid w:val="00504A3D"/>
    <w:rsid w:val="00505767"/>
    <w:rsid w:val="005073F0"/>
    <w:rsid w:val="00510A7B"/>
    <w:rsid w:val="00510F8F"/>
    <w:rsid w:val="00512F6E"/>
    <w:rsid w:val="00513038"/>
    <w:rsid w:val="005140FC"/>
    <w:rsid w:val="00514174"/>
    <w:rsid w:val="00514A64"/>
    <w:rsid w:val="00516088"/>
    <w:rsid w:val="00516A36"/>
    <w:rsid w:val="00516B0B"/>
    <w:rsid w:val="005220EC"/>
    <w:rsid w:val="00523F95"/>
    <w:rsid w:val="00524D65"/>
    <w:rsid w:val="005259CA"/>
    <w:rsid w:val="00525B16"/>
    <w:rsid w:val="00533D04"/>
    <w:rsid w:val="00534804"/>
    <w:rsid w:val="00534BDF"/>
    <w:rsid w:val="005354EA"/>
    <w:rsid w:val="0053585F"/>
    <w:rsid w:val="00535EC4"/>
    <w:rsid w:val="00535ED9"/>
    <w:rsid w:val="0053692B"/>
    <w:rsid w:val="00541537"/>
    <w:rsid w:val="00541853"/>
    <w:rsid w:val="00543BDA"/>
    <w:rsid w:val="005441CC"/>
    <w:rsid w:val="005479DA"/>
    <w:rsid w:val="00547BCC"/>
    <w:rsid w:val="0055013B"/>
    <w:rsid w:val="00551F6F"/>
    <w:rsid w:val="005542B8"/>
    <w:rsid w:val="00555044"/>
    <w:rsid w:val="005576DD"/>
    <w:rsid w:val="005613E3"/>
    <w:rsid w:val="00561475"/>
    <w:rsid w:val="00561F1E"/>
    <w:rsid w:val="0056487B"/>
    <w:rsid w:val="00564FB9"/>
    <w:rsid w:val="005656AB"/>
    <w:rsid w:val="00565709"/>
    <w:rsid w:val="00573D9E"/>
    <w:rsid w:val="005801E3"/>
    <w:rsid w:val="00581802"/>
    <w:rsid w:val="00582B84"/>
    <w:rsid w:val="005836A8"/>
    <w:rsid w:val="0058409C"/>
    <w:rsid w:val="00584262"/>
    <w:rsid w:val="00586630"/>
    <w:rsid w:val="00587ADD"/>
    <w:rsid w:val="00591E27"/>
    <w:rsid w:val="00596160"/>
    <w:rsid w:val="005966B4"/>
    <w:rsid w:val="005966E2"/>
    <w:rsid w:val="00597007"/>
    <w:rsid w:val="005A0966"/>
    <w:rsid w:val="005A11B7"/>
    <w:rsid w:val="005A260B"/>
    <w:rsid w:val="005A4A1B"/>
    <w:rsid w:val="005A7830"/>
    <w:rsid w:val="005A7FCE"/>
    <w:rsid w:val="005B00D5"/>
    <w:rsid w:val="005B0F3F"/>
    <w:rsid w:val="005B3F99"/>
    <w:rsid w:val="005B4903"/>
    <w:rsid w:val="005B51CE"/>
    <w:rsid w:val="005B5885"/>
    <w:rsid w:val="005B5CD7"/>
    <w:rsid w:val="005B6CF6"/>
    <w:rsid w:val="005B7422"/>
    <w:rsid w:val="005C29B8"/>
    <w:rsid w:val="005C3CAD"/>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FB1"/>
    <w:rsid w:val="005F2538"/>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1187"/>
    <w:rsid w:val="00632182"/>
    <w:rsid w:val="00632AE0"/>
    <w:rsid w:val="00633C17"/>
    <w:rsid w:val="00634D9E"/>
    <w:rsid w:val="00636E3E"/>
    <w:rsid w:val="006379F7"/>
    <w:rsid w:val="00637E4D"/>
    <w:rsid w:val="00640620"/>
    <w:rsid w:val="00641A1F"/>
    <w:rsid w:val="00645904"/>
    <w:rsid w:val="00651ACB"/>
    <w:rsid w:val="00651C47"/>
    <w:rsid w:val="00652AB2"/>
    <w:rsid w:val="006539BD"/>
    <w:rsid w:val="00653FED"/>
    <w:rsid w:val="00654EC0"/>
    <w:rsid w:val="0065525B"/>
    <w:rsid w:val="00655D4F"/>
    <w:rsid w:val="00656D29"/>
    <w:rsid w:val="00661F7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2FE"/>
    <w:rsid w:val="006869FC"/>
    <w:rsid w:val="00695D22"/>
    <w:rsid w:val="006A07AA"/>
    <w:rsid w:val="006A1FC3"/>
    <w:rsid w:val="006A25E5"/>
    <w:rsid w:val="006A2B46"/>
    <w:rsid w:val="006A336D"/>
    <w:rsid w:val="006A37B9"/>
    <w:rsid w:val="006A3BE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259"/>
    <w:rsid w:val="006D4515"/>
    <w:rsid w:val="006D4BB1"/>
    <w:rsid w:val="006D5B80"/>
    <w:rsid w:val="006D6593"/>
    <w:rsid w:val="006E23EA"/>
    <w:rsid w:val="006E6656"/>
    <w:rsid w:val="006F03A8"/>
    <w:rsid w:val="006F2ACA"/>
    <w:rsid w:val="006F2ADC"/>
    <w:rsid w:val="006F2BFE"/>
    <w:rsid w:val="006F31E9"/>
    <w:rsid w:val="006F47D7"/>
    <w:rsid w:val="006F6284"/>
    <w:rsid w:val="007002C5"/>
    <w:rsid w:val="00704387"/>
    <w:rsid w:val="00706816"/>
    <w:rsid w:val="00707669"/>
    <w:rsid w:val="00711CBA"/>
    <w:rsid w:val="00711FB5"/>
    <w:rsid w:val="00712A01"/>
    <w:rsid w:val="00714203"/>
    <w:rsid w:val="00714F58"/>
    <w:rsid w:val="00722FBF"/>
    <w:rsid w:val="00722FC2"/>
    <w:rsid w:val="00724879"/>
    <w:rsid w:val="00724E1B"/>
    <w:rsid w:val="00725949"/>
    <w:rsid w:val="007263F4"/>
    <w:rsid w:val="00726AF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8B2"/>
    <w:rsid w:val="00765C43"/>
    <w:rsid w:val="00765EFB"/>
    <w:rsid w:val="007671CA"/>
    <w:rsid w:val="00767C61"/>
    <w:rsid w:val="0077008A"/>
    <w:rsid w:val="00773C1F"/>
    <w:rsid w:val="00774DA4"/>
    <w:rsid w:val="00776599"/>
    <w:rsid w:val="00777AAA"/>
    <w:rsid w:val="00777C83"/>
    <w:rsid w:val="0078114B"/>
    <w:rsid w:val="00781DD2"/>
    <w:rsid w:val="00782169"/>
    <w:rsid w:val="00783ECF"/>
    <w:rsid w:val="0078413A"/>
    <w:rsid w:val="007959E8"/>
    <w:rsid w:val="00795E9C"/>
    <w:rsid w:val="007A0521"/>
    <w:rsid w:val="007A213D"/>
    <w:rsid w:val="007A2E12"/>
    <w:rsid w:val="007A3475"/>
    <w:rsid w:val="007A41C8"/>
    <w:rsid w:val="007A54CE"/>
    <w:rsid w:val="007A6FD9"/>
    <w:rsid w:val="007A7FFA"/>
    <w:rsid w:val="007B04EB"/>
    <w:rsid w:val="007B0D4F"/>
    <w:rsid w:val="007B5A3D"/>
    <w:rsid w:val="007B5B95"/>
    <w:rsid w:val="007B6215"/>
    <w:rsid w:val="007B68EA"/>
    <w:rsid w:val="007B7453"/>
    <w:rsid w:val="007C1E8B"/>
    <w:rsid w:val="007C2D89"/>
    <w:rsid w:val="007C2E58"/>
    <w:rsid w:val="007C4593"/>
    <w:rsid w:val="007C5309"/>
    <w:rsid w:val="007C6069"/>
    <w:rsid w:val="007D06C4"/>
    <w:rsid w:val="007D1352"/>
    <w:rsid w:val="007D2508"/>
    <w:rsid w:val="007D346A"/>
    <w:rsid w:val="007D6518"/>
    <w:rsid w:val="007D76BD"/>
    <w:rsid w:val="007E0BF1"/>
    <w:rsid w:val="007E5D62"/>
    <w:rsid w:val="007E6583"/>
    <w:rsid w:val="007F01AF"/>
    <w:rsid w:val="007F0ED8"/>
    <w:rsid w:val="007F0F63"/>
    <w:rsid w:val="007F75CE"/>
    <w:rsid w:val="008013A4"/>
    <w:rsid w:val="008027CE"/>
    <w:rsid w:val="00802F42"/>
    <w:rsid w:val="00804383"/>
    <w:rsid w:val="00804BB7"/>
    <w:rsid w:val="00804D41"/>
    <w:rsid w:val="00806F25"/>
    <w:rsid w:val="00810257"/>
    <w:rsid w:val="008104F5"/>
    <w:rsid w:val="00811072"/>
    <w:rsid w:val="00811369"/>
    <w:rsid w:val="00812537"/>
    <w:rsid w:val="00815419"/>
    <w:rsid w:val="008163C8"/>
    <w:rsid w:val="008164A1"/>
    <w:rsid w:val="00817325"/>
    <w:rsid w:val="008209E6"/>
    <w:rsid w:val="00823303"/>
    <w:rsid w:val="008233B2"/>
    <w:rsid w:val="00823A9F"/>
    <w:rsid w:val="00823C85"/>
    <w:rsid w:val="00825138"/>
    <w:rsid w:val="008269DD"/>
    <w:rsid w:val="00827541"/>
    <w:rsid w:val="00830621"/>
    <w:rsid w:val="0083348C"/>
    <w:rsid w:val="008339C1"/>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17B"/>
    <w:rsid w:val="00873E6D"/>
    <w:rsid w:val="00883F93"/>
    <w:rsid w:val="00884DB3"/>
    <w:rsid w:val="00885A9D"/>
    <w:rsid w:val="00885A9E"/>
    <w:rsid w:val="008864F6"/>
    <w:rsid w:val="0088760A"/>
    <w:rsid w:val="0089049D"/>
    <w:rsid w:val="008928C9"/>
    <w:rsid w:val="008930CB"/>
    <w:rsid w:val="008938DC"/>
    <w:rsid w:val="00893FD1"/>
    <w:rsid w:val="00894836"/>
    <w:rsid w:val="00895172"/>
    <w:rsid w:val="00895680"/>
    <w:rsid w:val="00896DFF"/>
    <w:rsid w:val="0089762C"/>
    <w:rsid w:val="008A1893"/>
    <w:rsid w:val="008A1D7E"/>
    <w:rsid w:val="008A2BE6"/>
    <w:rsid w:val="008A2BF5"/>
    <w:rsid w:val="008A3215"/>
    <w:rsid w:val="008A57E6"/>
    <w:rsid w:val="008A6F81"/>
    <w:rsid w:val="008A769A"/>
    <w:rsid w:val="008B0C9C"/>
    <w:rsid w:val="008B166D"/>
    <w:rsid w:val="008B17F4"/>
    <w:rsid w:val="008B3615"/>
    <w:rsid w:val="008B4AC4"/>
    <w:rsid w:val="008B50C8"/>
    <w:rsid w:val="008B5281"/>
    <w:rsid w:val="008B7E05"/>
    <w:rsid w:val="008C083A"/>
    <w:rsid w:val="008C1797"/>
    <w:rsid w:val="008C219C"/>
    <w:rsid w:val="008C475E"/>
    <w:rsid w:val="008C4976"/>
    <w:rsid w:val="008C619A"/>
    <w:rsid w:val="008D0603"/>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CF2"/>
    <w:rsid w:val="008F70BD"/>
    <w:rsid w:val="008F788F"/>
    <w:rsid w:val="008F7EA2"/>
    <w:rsid w:val="00902722"/>
    <w:rsid w:val="009027BC"/>
    <w:rsid w:val="009062E6"/>
    <w:rsid w:val="00911BE5"/>
    <w:rsid w:val="00912221"/>
    <w:rsid w:val="00913961"/>
    <w:rsid w:val="00913CA9"/>
    <w:rsid w:val="009145AE"/>
    <w:rsid w:val="009146CE"/>
    <w:rsid w:val="00914CA7"/>
    <w:rsid w:val="00915C3E"/>
    <w:rsid w:val="009161A8"/>
    <w:rsid w:val="00921C9B"/>
    <w:rsid w:val="009224FE"/>
    <w:rsid w:val="00923F0F"/>
    <w:rsid w:val="009245F5"/>
    <w:rsid w:val="009249EC"/>
    <w:rsid w:val="009273B3"/>
    <w:rsid w:val="009305B5"/>
    <w:rsid w:val="0093446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14D"/>
    <w:rsid w:val="009809BB"/>
    <w:rsid w:val="00980E23"/>
    <w:rsid w:val="0098364B"/>
    <w:rsid w:val="00985CDE"/>
    <w:rsid w:val="00987DDF"/>
    <w:rsid w:val="009911AF"/>
    <w:rsid w:val="00991875"/>
    <w:rsid w:val="00991F92"/>
    <w:rsid w:val="00992985"/>
    <w:rsid w:val="00993889"/>
    <w:rsid w:val="00994C79"/>
    <w:rsid w:val="0099551B"/>
    <w:rsid w:val="00997BF1"/>
    <w:rsid w:val="009A04B6"/>
    <w:rsid w:val="009A089C"/>
    <w:rsid w:val="009A118E"/>
    <w:rsid w:val="009A21CD"/>
    <w:rsid w:val="009A278C"/>
    <w:rsid w:val="009A2BC2"/>
    <w:rsid w:val="009A3EB9"/>
    <w:rsid w:val="009A42C1"/>
    <w:rsid w:val="009A5429"/>
    <w:rsid w:val="009A72AD"/>
    <w:rsid w:val="009B09E0"/>
    <w:rsid w:val="009B0BC5"/>
    <w:rsid w:val="009B1247"/>
    <w:rsid w:val="009B54ED"/>
    <w:rsid w:val="009B6029"/>
    <w:rsid w:val="009B6971"/>
    <w:rsid w:val="009B6A61"/>
    <w:rsid w:val="009C27F1"/>
    <w:rsid w:val="009C3152"/>
    <w:rsid w:val="009C4CFA"/>
    <w:rsid w:val="009C5070"/>
    <w:rsid w:val="009D0483"/>
    <w:rsid w:val="009D0D45"/>
    <w:rsid w:val="009D112C"/>
    <w:rsid w:val="009D2D13"/>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68D"/>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A35"/>
    <w:rsid w:val="00A36DD1"/>
    <w:rsid w:val="00A4006C"/>
    <w:rsid w:val="00A40091"/>
    <w:rsid w:val="00A4030F"/>
    <w:rsid w:val="00A41C79"/>
    <w:rsid w:val="00A41CB5"/>
    <w:rsid w:val="00A42CDF"/>
    <w:rsid w:val="00A435D5"/>
    <w:rsid w:val="00A43A8D"/>
    <w:rsid w:val="00A4452E"/>
    <w:rsid w:val="00A4472C"/>
    <w:rsid w:val="00A44E69"/>
    <w:rsid w:val="00A458E6"/>
    <w:rsid w:val="00A4661E"/>
    <w:rsid w:val="00A47723"/>
    <w:rsid w:val="00A47AE7"/>
    <w:rsid w:val="00A55BD6"/>
    <w:rsid w:val="00A55D50"/>
    <w:rsid w:val="00A57142"/>
    <w:rsid w:val="00A62C35"/>
    <w:rsid w:val="00A648CD"/>
    <w:rsid w:val="00A6537A"/>
    <w:rsid w:val="00A67866"/>
    <w:rsid w:val="00A67EAF"/>
    <w:rsid w:val="00A70B07"/>
    <w:rsid w:val="00A723F8"/>
    <w:rsid w:val="00A74D41"/>
    <w:rsid w:val="00A77CCB"/>
    <w:rsid w:val="00A83D8D"/>
    <w:rsid w:val="00A8446B"/>
    <w:rsid w:val="00A8473F"/>
    <w:rsid w:val="00A862D6"/>
    <w:rsid w:val="00A8715E"/>
    <w:rsid w:val="00A9295B"/>
    <w:rsid w:val="00A93B09"/>
    <w:rsid w:val="00A94247"/>
    <w:rsid w:val="00A952D7"/>
    <w:rsid w:val="00A954B5"/>
    <w:rsid w:val="00A963F7"/>
    <w:rsid w:val="00A96AD8"/>
    <w:rsid w:val="00AA052C"/>
    <w:rsid w:val="00AA1E45"/>
    <w:rsid w:val="00AA4286"/>
    <w:rsid w:val="00AA456B"/>
    <w:rsid w:val="00AA57F5"/>
    <w:rsid w:val="00AA5966"/>
    <w:rsid w:val="00AA672E"/>
    <w:rsid w:val="00AA6EC9"/>
    <w:rsid w:val="00AA700C"/>
    <w:rsid w:val="00AB41D5"/>
    <w:rsid w:val="00AB6309"/>
    <w:rsid w:val="00AB6C5F"/>
    <w:rsid w:val="00AB7129"/>
    <w:rsid w:val="00AC27A6"/>
    <w:rsid w:val="00AC30F7"/>
    <w:rsid w:val="00AC344A"/>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DED"/>
    <w:rsid w:val="00B049AF"/>
    <w:rsid w:val="00B07242"/>
    <w:rsid w:val="00B10534"/>
    <w:rsid w:val="00B113DB"/>
    <w:rsid w:val="00B11D8A"/>
    <w:rsid w:val="00B12981"/>
    <w:rsid w:val="00B12EA3"/>
    <w:rsid w:val="00B147DD"/>
    <w:rsid w:val="00B156FD"/>
    <w:rsid w:val="00B21F61"/>
    <w:rsid w:val="00B24E33"/>
    <w:rsid w:val="00B261F1"/>
    <w:rsid w:val="00B265BC"/>
    <w:rsid w:val="00B31FB1"/>
    <w:rsid w:val="00B33952"/>
    <w:rsid w:val="00B33C5E"/>
    <w:rsid w:val="00B342F4"/>
    <w:rsid w:val="00B34369"/>
    <w:rsid w:val="00B34DC2"/>
    <w:rsid w:val="00B378E5"/>
    <w:rsid w:val="00B4346D"/>
    <w:rsid w:val="00B440F4"/>
    <w:rsid w:val="00B447A5"/>
    <w:rsid w:val="00B44989"/>
    <w:rsid w:val="00B45CCC"/>
    <w:rsid w:val="00B4654C"/>
    <w:rsid w:val="00B47293"/>
    <w:rsid w:val="00B50E50"/>
    <w:rsid w:val="00B52120"/>
    <w:rsid w:val="00B537C4"/>
    <w:rsid w:val="00B54ABC"/>
    <w:rsid w:val="00B54DDE"/>
    <w:rsid w:val="00B56FBE"/>
    <w:rsid w:val="00B57120"/>
    <w:rsid w:val="00B60ACF"/>
    <w:rsid w:val="00B62B58"/>
    <w:rsid w:val="00B65149"/>
    <w:rsid w:val="00B66567"/>
    <w:rsid w:val="00B66F52"/>
    <w:rsid w:val="00B66FE5"/>
    <w:rsid w:val="00B72880"/>
    <w:rsid w:val="00B758BF"/>
    <w:rsid w:val="00B77EC8"/>
    <w:rsid w:val="00B827A6"/>
    <w:rsid w:val="00B831CE"/>
    <w:rsid w:val="00B86677"/>
    <w:rsid w:val="00B87131"/>
    <w:rsid w:val="00B916F5"/>
    <w:rsid w:val="00B939B1"/>
    <w:rsid w:val="00B96D40"/>
    <w:rsid w:val="00B97386"/>
    <w:rsid w:val="00BA263B"/>
    <w:rsid w:val="00BA42B2"/>
    <w:rsid w:val="00BA58D4"/>
    <w:rsid w:val="00BA5B9E"/>
    <w:rsid w:val="00BA7C9A"/>
    <w:rsid w:val="00BB3721"/>
    <w:rsid w:val="00BB5F8F"/>
    <w:rsid w:val="00BB657A"/>
    <w:rsid w:val="00BC11E1"/>
    <w:rsid w:val="00BC1A4E"/>
    <w:rsid w:val="00BC5DC7"/>
    <w:rsid w:val="00BC6B8B"/>
    <w:rsid w:val="00BC73D8"/>
    <w:rsid w:val="00BD21CE"/>
    <w:rsid w:val="00BD52D7"/>
    <w:rsid w:val="00BD5AD2"/>
    <w:rsid w:val="00BE22F3"/>
    <w:rsid w:val="00BE2EB8"/>
    <w:rsid w:val="00BE5B52"/>
    <w:rsid w:val="00BE7B8D"/>
    <w:rsid w:val="00BF0993"/>
    <w:rsid w:val="00BF10A9"/>
    <w:rsid w:val="00BF1703"/>
    <w:rsid w:val="00BF231C"/>
    <w:rsid w:val="00BF51E5"/>
    <w:rsid w:val="00BF6937"/>
    <w:rsid w:val="00BF74A6"/>
    <w:rsid w:val="00C013AD"/>
    <w:rsid w:val="00C04311"/>
    <w:rsid w:val="00C04904"/>
    <w:rsid w:val="00C056B3"/>
    <w:rsid w:val="00C103E5"/>
    <w:rsid w:val="00C128FF"/>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BF4"/>
    <w:rsid w:val="00C521D6"/>
    <w:rsid w:val="00C55232"/>
    <w:rsid w:val="00C553A4"/>
    <w:rsid w:val="00C55A06"/>
    <w:rsid w:val="00C55D03"/>
    <w:rsid w:val="00C601BC"/>
    <w:rsid w:val="00C6329F"/>
    <w:rsid w:val="00C63340"/>
    <w:rsid w:val="00C643F9"/>
    <w:rsid w:val="00C64E95"/>
    <w:rsid w:val="00C701BA"/>
    <w:rsid w:val="00C71372"/>
    <w:rsid w:val="00C72410"/>
    <w:rsid w:val="00C7287F"/>
    <w:rsid w:val="00C80CB8"/>
    <w:rsid w:val="00C819F8"/>
    <w:rsid w:val="00C8248C"/>
    <w:rsid w:val="00C82BF1"/>
    <w:rsid w:val="00C84E33"/>
    <w:rsid w:val="00C86D6F"/>
    <w:rsid w:val="00C905FC"/>
    <w:rsid w:val="00C92D03"/>
    <w:rsid w:val="00C9319C"/>
    <w:rsid w:val="00C9435D"/>
    <w:rsid w:val="00C94DF2"/>
    <w:rsid w:val="00C96741"/>
    <w:rsid w:val="00CA2D1B"/>
    <w:rsid w:val="00CA375D"/>
    <w:rsid w:val="00CA4058"/>
    <w:rsid w:val="00CA662A"/>
    <w:rsid w:val="00CA7AFD"/>
    <w:rsid w:val="00CA7C3C"/>
    <w:rsid w:val="00CB0189"/>
    <w:rsid w:val="00CB0BA2"/>
    <w:rsid w:val="00CB1A42"/>
    <w:rsid w:val="00CB1B0C"/>
    <w:rsid w:val="00CB2C0B"/>
    <w:rsid w:val="00CB517D"/>
    <w:rsid w:val="00CC0125"/>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CFB"/>
    <w:rsid w:val="00CE0C4F"/>
    <w:rsid w:val="00CE30EA"/>
    <w:rsid w:val="00CF048A"/>
    <w:rsid w:val="00CF155A"/>
    <w:rsid w:val="00CF283C"/>
    <w:rsid w:val="00CF2947"/>
    <w:rsid w:val="00CF3ED7"/>
    <w:rsid w:val="00CF686F"/>
    <w:rsid w:val="00CF6E60"/>
    <w:rsid w:val="00CF7BCA"/>
    <w:rsid w:val="00D008FD"/>
    <w:rsid w:val="00D0321C"/>
    <w:rsid w:val="00D035EC"/>
    <w:rsid w:val="00D0644A"/>
    <w:rsid w:val="00D06AB1"/>
    <w:rsid w:val="00D072ED"/>
    <w:rsid w:val="00D07A16"/>
    <w:rsid w:val="00D1067E"/>
    <w:rsid w:val="00D10F50"/>
    <w:rsid w:val="00D11272"/>
    <w:rsid w:val="00D126F5"/>
    <w:rsid w:val="00D1489E"/>
    <w:rsid w:val="00D2045D"/>
    <w:rsid w:val="00D20737"/>
    <w:rsid w:val="00D21E81"/>
    <w:rsid w:val="00D223DE"/>
    <w:rsid w:val="00D23AD3"/>
    <w:rsid w:val="00D25E37"/>
    <w:rsid w:val="00D2661A"/>
    <w:rsid w:val="00D27582"/>
    <w:rsid w:val="00D27EC4"/>
    <w:rsid w:val="00D32719"/>
    <w:rsid w:val="00D33333"/>
    <w:rsid w:val="00D33457"/>
    <w:rsid w:val="00D33E14"/>
    <w:rsid w:val="00D352A2"/>
    <w:rsid w:val="00D35EE2"/>
    <w:rsid w:val="00D3607F"/>
    <w:rsid w:val="00D4162B"/>
    <w:rsid w:val="00D4429A"/>
    <w:rsid w:val="00D4514F"/>
    <w:rsid w:val="00D451E2"/>
    <w:rsid w:val="00D45E89"/>
    <w:rsid w:val="00D45E8D"/>
    <w:rsid w:val="00D466AE"/>
    <w:rsid w:val="00D4734F"/>
    <w:rsid w:val="00D51BF3"/>
    <w:rsid w:val="00D6249C"/>
    <w:rsid w:val="00D65D5D"/>
    <w:rsid w:val="00D66846"/>
    <w:rsid w:val="00D675FB"/>
    <w:rsid w:val="00D71F25"/>
    <w:rsid w:val="00D72A9C"/>
    <w:rsid w:val="00D77031"/>
    <w:rsid w:val="00D84941"/>
    <w:rsid w:val="00D84FA1"/>
    <w:rsid w:val="00D851F0"/>
    <w:rsid w:val="00D86DB7"/>
    <w:rsid w:val="00D91E5C"/>
    <w:rsid w:val="00D926D0"/>
    <w:rsid w:val="00D93030"/>
    <w:rsid w:val="00D950E1"/>
    <w:rsid w:val="00D952A6"/>
    <w:rsid w:val="00D97F99"/>
    <w:rsid w:val="00DA1E08"/>
    <w:rsid w:val="00DA24F8"/>
    <w:rsid w:val="00DA28E8"/>
    <w:rsid w:val="00DA38D3"/>
    <w:rsid w:val="00DA3932"/>
    <w:rsid w:val="00DA3AFC"/>
    <w:rsid w:val="00DA431E"/>
    <w:rsid w:val="00DA64F8"/>
    <w:rsid w:val="00DA6C15"/>
    <w:rsid w:val="00DB0258"/>
    <w:rsid w:val="00DB0590"/>
    <w:rsid w:val="00DB38EE"/>
    <w:rsid w:val="00DB4338"/>
    <w:rsid w:val="00DB498B"/>
    <w:rsid w:val="00DB5FFA"/>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1B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2E0"/>
    <w:rsid w:val="00E04360"/>
    <w:rsid w:val="00E06404"/>
    <w:rsid w:val="00E10740"/>
    <w:rsid w:val="00E11A85"/>
    <w:rsid w:val="00E12495"/>
    <w:rsid w:val="00E15CCD"/>
    <w:rsid w:val="00E16210"/>
    <w:rsid w:val="00E202EF"/>
    <w:rsid w:val="00E210B5"/>
    <w:rsid w:val="00E21C8B"/>
    <w:rsid w:val="00E23D99"/>
    <w:rsid w:val="00E2552F"/>
    <w:rsid w:val="00E3137A"/>
    <w:rsid w:val="00E32CCF"/>
    <w:rsid w:val="00E33B42"/>
    <w:rsid w:val="00E34A98"/>
    <w:rsid w:val="00E35D1E"/>
    <w:rsid w:val="00E364F9"/>
    <w:rsid w:val="00E365FA"/>
    <w:rsid w:val="00E36789"/>
    <w:rsid w:val="00E373BA"/>
    <w:rsid w:val="00E4208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985"/>
    <w:rsid w:val="00E77A03"/>
    <w:rsid w:val="00E822E8"/>
    <w:rsid w:val="00E82554"/>
    <w:rsid w:val="00E82606"/>
    <w:rsid w:val="00E846C8"/>
    <w:rsid w:val="00E84957"/>
    <w:rsid w:val="00E84A55"/>
    <w:rsid w:val="00E85BFF"/>
    <w:rsid w:val="00E902C3"/>
    <w:rsid w:val="00E90391"/>
    <w:rsid w:val="00E906C2"/>
    <w:rsid w:val="00E9311F"/>
    <w:rsid w:val="00E934D1"/>
    <w:rsid w:val="00E94AF0"/>
    <w:rsid w:val="00E95D13"/>
    <w:rsid w:val="00E95DD3"/>
    <w:rsid w:val="00E969D5"/>
    <w:rsid w:val="00EA58D1"/>
    <w:rsid w:val="00EA61BC"/>
    <w:rsid w:val="00EA681A"/>
    <w:rsid w:val="00EA735B"/>
    <w:rsid w:val="00EB0931"/>
    <w:rsid w:val="00EB17DE"/>
    <w:rsid w:val="00EB1E69"/>
    <w:rsid w:val="00EB2086"/>
    <w:rsid w:val="00EB5EDF"/>
    <w:rsid w:val="00EB60FE"/>
    <w:rsid w:val="00EB74DB"/>
    <w:rsid w:val="00EC0863"/>
    <w:rsid w:val="00EC5359"/>
    <w:rsid w:val="00EC562A"/>
    <w:rsid w:val="00ED067A"/>
    <w:rsid w:val="00ED2B50"/>
    <w:rsid w:val="00EE0350"/>
    <w:rsid w:val="00EE0719"/>
    <w:rsid w:val="00EE0E80"/>
    <w:rsid w:val="00EE54A6"/>
    <w:rsid w:val="00EE613F"/>
    <w:rsid w:val="00EE684B"/>
    <w:rsid w:val="00EE7295"/>
    <w:rsid w:val="00EE7869"/>
    <w:rsid w:val="00EF054A"/>
    <w:rsid w:val="00EF3235"/>
    <w:rsid w:val="00EF3526"/>
    <w:rsid w:val="00EF4045"/>
    <w:rsid w:val="00EF57C7"/>
    <w:rsid w:val="00EF7E72"/>
    <w:rsid w:val="00F06D37"/>
    <w:rsid w:val="00F07B9D"/>
    <w:rsid w:val="00F07F72"/>
    <w:rsid w:val="00F11586"/>
    <w:rsid w:val="00F1183B"/>
    <w:rsid w:val="00F11C9F"/>
    <w:rsid w:val="00F12263"/>
    <w:rsid w:val="00F1409D"/>
    <w:rsid w:val="00F14214"/>
    <w:rsid w:val="00F157A9"/>
    <w:rsid w:val="00F25BB6"/>
    <w:rsid w:val="00F25CA5"/>
    <w:rsid w:val="00F265C4"/>
    <w:rsid w:val="00F26B7E"/>
    <w:rsid w:val="00F27A3B"/>
    <w:rsid w:val="00F33817"/>
    <w:rsid w:val="00F420D5"/>
    <w:rsid w:val="00F451EA"/>
    <w:rsid w:val="00F45447"/>
    <w:rsid w:val="00F456C6"/>
    <w:rsid w:val="00F4577B"/>
    <w:rsid w:val="00F46496"/>
    <w:rsid w:val="00F474D0"/>
    <w:rsid w:val="00F50179"/>
    <w:rsid w:val="00F515EE"/>
    <w:rsid w:val="00F529FC"/>
    <w:rsid w:val="00F56511"/>
    <w:rsid w:val="00F6194E"/>
    <w:rsid w:val="00F623AC"/>
    <w:rsid w:val="00F6412A"/>
    <w:rsid w:val="00F65893"/>
    <w:rsid w:val="00F66A4A"/>
    <w:rsid w:val="00F71E22"/>
    <w:rsid w:val="00F72142"/>
    <w:rsid w:val="00F72AE7"/>
    <w:rsid w:val="00F7386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250"/>
    <w:rsid w:val="00FA4DAC"/>
    <w:rsid w:val="00FA662D"/>
    <w:rsid w:val="00FA73B1"/>
    <w:rsid w:val="00FB0CB9"/>
    <w:rsid w:val="00FB231D"/>
    <w:rsid w:val="00FB45F1"/>
    <w:rsid w:val="00FB4A72"/>
    <w:rsid w:val="00FB54E8"/>
    <w:rsid w:val="00FB7054"/>
    <w:rsid w:val="00FC17B7"/>
    <w:rsid w:val="00FC2CB7"/>
    <w:rsid w:val="00FC4090"/>
    <w:rsid w:val="00FC490C"/>
    <w:rsid w:val="00FC55B4"/>
    <w:rsid w:val="00FD00E6"/>
    <w:rsid w:val="00FD09A1"/>
    <w:rsid w:val="00FD2A7C"/>
    <w:rsid w:val="00FD5912"/>
    <w:rsid w:val="00FD59EB"/>
    <w:rsid w:val="00FD7299"/>
    <w:rsid w:val="00FE1FBE"/>
    <w:rsid w:val="00FE3901"/>
    <w:rsid w:val="00FE39D3"/>
    <w:rsid w:val="00FE4BCE"/>
    <w:rsid w:val="00FE54AE"/>
    <w:rsid w:val="00FE576A"/>
    <w:rsid w:val="00FE7E79"/>
    <w:rsid w:val="00FF2096"/>
    <w:rsid w:val="00FF36F4"/>
    <w:rsid w:val="00FF3E7D"/>
    <w:rsid w:val="00FF5B99"/>
    <w:rsid w:val="00FF730C"/>
    <w:rsid w:val="00FF73F4"/>
    <w:rsid w:val="00FF7CE4"/>
    <w:rsid w:val="00FF7E39"/>
    <w:rsid w:val="01B52630"/>
    <w:rsid w:val="026003DA"/>
    <w:rsid w:val="038F541B"/>
    <w:rsid w:val="03A03184"/>
    <w:rsid w:val="041341B1"/>
    <w:rsid w:val="04CE32A6"/>
    <w:rsid w:val="04E23328"/>
    <w:rsid w:val="057A317B"/>
    <w:rsid w:val="05DB7947"/>
    <w:rsid w:val="062005AC"/>
    <w:rsid w:val="06826B71"/>
    <w:rsid w:val="07264E6A"/>
    <w:rsid w:val="0786604B"/>
    <w:rsid w:val="07CB11DD"/>
    <w:rsid w:val="08206641"/>
    <w:rsid w:val="082F4AD6"/>
    <w:rsid w:val="09157287"/>
    <w:rsid w:val="094D16B8"/>
    <w:rsid w:val="0992358F"/>
    <w:rsid w:val="099E1F14"/>
    <w:rsid w:val="09D23121"/>
    <w:rsid w:val="0A1102E2"/>
    <w:rsid w:val="0A7675E7"/>
    <w:rsid w:val="0B2007C9"/>
    <w:rsid w:val="0BE63AB3"/>
    <w:rsid w:val="0BF2461F"/>
    <w:rsid w:val="0C1741FF"/>
    <w:rsid w:val="0CA24776"/>
    <w:rsid w:val="0CA80CCD"/>
    <w:rsid w:val="0D8C6DDE"/>
    <w:rsid w:val="0E3B1B1E"/>
    <w:rsid w:val="0E44204B"/>
    <w:rsid w:val="0E90420D"/>
    <w:rsid w:val="0E943229"/>
    <w:rsid w:val="0F6B6D3C"/>
    <w:rsid w:val="0F825E34"/>
    <w:rsid w:val="0FA259EF"/>
    <w:rsid w:val="0FD125CB"/>
    <w:rsid w:val="10303AE2"/>
    <w:rsid w:val="10D80246"/>
    <w:rsid w:val="113151B7"/>
    <w:rsid w:val="11662604"/>
    <w:rsid w:val="13095EEF"/>
    <w:rsid w:val="13AD48CA"/>
    <w:rsid w:val="14787805"/>
    <w:rsid w:val="14CF03A4"/>
    <w:rsid w:val="14F80B71"/>
    <w:rsid w:val="162E0780"/>
    <w:rsid w:val="17123F41"/>
    <w:rsid w:val="17162C2F"/>
    <w:rsid w:val="184B14B9"/>
    <w:rsid w:val="190855FC"/>
    <w:rsid w:val="193E0CBA"/>
    <w:rsid w:val="1A431141"/>
    <w:rsid w:val="1AB46A64"/>
    <w:rsid w:val="1AE039DC"/>
    <w:rsid w:val="1B0F5C19"/>
    <w:rsid w:val="1C522596"/>
    <w:rsid w:val="1CBB2985"/>
    <w:rsid w:val="1D2D3883"/>
    <w:rsid w:val="1D535AA1"/>
    <w:rsid w:val="1DE62D5A"/>
    <w:rsid w:val="1E85324A"/>
    <w:rsid w:val="1EDB10BC"/>
    <w:rsid w:val="1F5275D0"/>
    <w:rsid w:val="1FD94C65"/>
    <w:rsid w:val="1FDB0EA2"/>
    <w:rsid w:val="20762D49"/>
    <w:rsid w:val="20AF756C"/>
    <w:rsid w:val="219F4623"/>
    <w:rsid w:val="22342FBD"/>
    <w:rsid w:val="22D80950"/>
    <w:rsid w:val="230B6414"/>
    <w:rsid w:val="232220F9"/>
    <w:rsid w:val="23A7445B"/>
    <w:rsid w:val="23BC14BC"/>
    <w:rsid w:val="248F2E20"/>
    <w:rsid w:val="24D24662"/>
    <w:rsid w:val="258C4EBE"/>
    <w:rsid w:val="25F72C80"/>
    <w:rsid w:val="2603165E"/>
    <w:rsid w:val="265C1789"/>
    <w:rsid w:val="26622EB6"/>
    <w:rsid w:val="273E1940"/>
    <w:rsid w:val="275D2FB6"/>
    <w:rsid w:val="28551925"/>
    <w:rsid w:val="28744D45"/>
    <w:rsid w:val="29F53405"/>
    <w:rsid w:val="2A7826B4"/>
    <w:rsid w:val="2B8C79C6"/>
    <w:rsid w:val="2C536CDF"/>
    <w:rsid w:val="2CA70830"/>
    <w:rsid w:val="2CC72322"/>
    <w:rsid w:val="2CD37DDA"/>
    <w:rsid w:val="2D0D50B8"/>
    <w:rsid w:val="2D720854"/>
    <w:rsid w:val="2DF12E9C"/>
    <w:rsid w:val="2E6A204B"/>
    <w:rsid w:val="2EB322DB"/>
    <w:rsid w:val="2EBE0C3A"/>
    <w:rsid w:val="2F4819D2"/>
    <w:rsid w:val="2F7215C9"/>
    <w:rsid w:val="2F807842"/>
    <w:rsid w:val="2FC54BD5"/>
    <w:rsid w:val="2FF4062B"/>
    <w:rsid w:val="30AC28B9"/>
    <w:rsid w:val="30D36141"/>
    <w:rsid w:val="317E4255"/>
    <w:rsid w:val="33712670"/>
    <w:rsid w:val="338A5BF7"/>
    <w:rsid w:val="343E3FA0"/>
    <w:rsid w:val="3458152F"/>
    <w:rsid w:val="3467402E"/>
    <w:rsid w:val="3467570E"/>
    <w:rsid w:val="346B00EF"/>
    <w:rsid w:val="34846FB6"/>
    <w:rsid w:val="36405D68"/>
    <w:rsid w:val="36795FFC"/>
    <w:rsid w:val="370621EB"/>
    <w:rsid w:val="371C0798"/>
    <w:rsid w:val="373976B2"/>
    <w:rsid w:val="383218F5"/>
    <w:rsid w:val="39215D79"/>
    <w:rsid w:val="392661AB"/>
    <w:rsid w:val="398B5119"/>
    <w:rsid w:val="398B7747"/>
    <w:rsid w:val="39BC2729"/>
    <w:rsid w:val="39DA4A0D"/>
    <w:rsid w:val="3A606BEE"/>
    <w:rsid w:val="3A8C79E3"/>
    <w:rsid w:val="3A8D477A"/>
    <w:rsid w:val="3AB807D8"/>
    <w:rsid w:val="3B2D7AC6"/>
    <w:rsid w:val="3BA42B0A"/>
    <w:rsid w:val="3BB632F5"/>
    <w:rsid w:val="3C667DC0"/>
    <w:rsid w:val="3D4225DB"/>
    <w:rsid w:val="3DE713D4"/>
    <w:rsid w:val="3DEA67CE"/>
    <w:rsid w:val="3E772758"/>
    <w:rsid w:val="3EC81291"/>
    <w:rsid w:val="3EF766CA"/>
    <w:rsid w:val="3F6025F0"/>
    <w:rsid w:val="3FF61CBF"/>
    <w:rsid w:val="400E781F"/>
    <w:rsid w:val="40333A51"/>
    <w:rsid w:val="403A05AE"/>
    <w:rsid w:val="40C23507"/>
    <w:rsid w:val="40F167F2"/>
    <w:rsid w:val="40F36398"/>
    <w:rsid w:val="415073FA"/>
    <w:rsid w:val="415F13B8"/>
    <w:rsid w:val="41731A9F"/>
    <w:rsid w:val="41762AE7"/>
    <w:rsid w:val="41F06AA9"/>
    <w:rsid w:val="436C03B1"/>
    <w:rsid w:val="43BD0C0D"/>
    <w:rsid w:val="43D24211"/>
    <w:rsid w:val="443B0600"/>
    <w:rsid w:val="44B55581"/>
    <w:rsid w:val="44F811AA"/>
    <w:rsid w:val="45B61DB8"/>
    <w:rsid w:val="467D6A4A"/>
    <w:rsid w:val="4723347D"/>
    <w:rsid w:val="48A601B2"/>
    <w:rsid w:val="48A73C3A"/>
    <w:rsid w:val="49781EE6"/>
    <w:rsid w:val="49FC225B"/>
    <w:rsid w:val="4A0B41AC"/>
    <w:rsid w:val="4AB033C8"/>
    <w:rsid w:val="4B3F62A5"/>
    <w:rsid w:val="4BD96800"/>
    <w:rsid w:val="4C35155C"/>
    <w:rsid w:val="4C7277D3"/>
    <w:rsid w:val="4CC2216C"/>
    <w:rsid w:val="4CC254E6"/>
    <w:rsid w:val="4CD952B5"/>
    <w:rsid w:val="4D477799"/>
    <w:rsid w:val="4E016CE7"/>
    <w:rsid w:val="502D2C76"/>
    <w:rsid w:val="514040F2"/>
    <w:rsid w:val="520B738B"/>
    <w:rsid w:val="52327A9B"/>
    <w:rsid w:val="52E02C04"/>
    <w:rsid w:val="53441882"/>
    <w:rsid w:val="53511743"/>
    <w:rsid w:val="538E1C7E"/>
    <w:rsid w:val="53AE528F"/>
    <w:rsid w:val="54BA4CF5"/>
    <w:rsid w:val="54E844DB"/>
    <w:rsid w:val="56B60E9F"/>
    <w:rsid w:val="57004191"/>
    <w:rsid w:val="5764751B"/>
    <w:rsid w:val="579714C5"/>
    <w:rsid w:val="58194918"/>
    <w:rsid w:val="59B15B2F"/>
    <w:rsid w:val="5A04713E"/>
    <w:rsid w:val="5BF84A80"/>
    <w:rsid w:val="5C675762"/>
    <w:rsid w:val="5D2418A5"/>
    <w:rsid w:val="5D8A795A"/>
    <w:rsid w:val="5DA84284"/>
    <w:rsid w:val="5DD26913"/>
    <w:rsid w:val="5E127950"/>
    <w:rsid w:val="5EF808F3"/>
    <w:rsid w:val="5F061262"/>
    <w:rsid w:val="5FEA7F2C"/>
    <w:rsid w:val="606F5B12"/>
    <w:rsid w:val="60E04628"/>
    <w:rsid w:val="61502C69"/>
    <w:rsid w:val="616A6438"/>
    <w:rsid w:val="62191F5D"/>
    <w:rsid w:val="62505B15"/>
    <w:rsid w:val="635F2004"/>
    <w:rsid w:val="63676048"/>
    <w:rsid w:val="63DC6A36"/>
    <w:rsid w:val="646802C9"/>
    <w:rsid w:val="66AC7EC6"/>
    <w:rsid w:val="66E55C01"/>
    <w:rsid w:val="672002AE"/>
    <w:rsid w:val="67CE1AF2"/>
    <w:rsid w:val="683426D7"/>
    <w:rsid w:val="68D0643D"/>
    <w:rsid w:val="6B1A4EC6"/>
    <w:rsid w:val="6B665DAF"/>
    <w:rsid w:val="6B9320D0"/>
    <w:rsid w:val="6D7C6B93"/>
    <w:rsid w:val="6D926B67"/>
    <w:rsid w:val="6DBC435D"/>
    <w:rsid w:val="6DD53E44"/>
    <w:rsid w:val="6E614F49"/>
    <w:rsid w:val="6F8B0168"/>
    <w:rsid w:val="70AE52B6"/>
    <w:rsid w:val="718A5AF2"/>
    <w:rsid w:val="72516841"/>
    <w:rsid w:val="72E23A07"/>
    <w:rsid w:val="739764D5"/>
    <w:rsid w:val="73CC7269"/>
    <w:rsid w:val="746F7452"/>
    <w:rsid w:val="74AE27E7"/>
    <w:rsid w:val="751467C2"/>
    <w:rsid w:val="76007DF5"/>
    <w:rsid w:val="766B4556"/>
    <w:rsid w:val="78D9001A"/>
    <w:rsid w:val="795E2E8A"/>
    <w:rsid w:val="7A344A7E"/>
    <w:rsid w:val="7A745707"/>
    <w:rsid w:val="7A9379BB"/>
    <w:rsid w:val="7AF07A4F"/>
    <w:rsid w:val="7B276391"/>
    <w:rsid w:val="7BA30286"/>
    <w:rsid w:val="7BC056E5"/>
    <w:rsid w:val="7BFB6785"/>
    <w:rsid w:val="7C077E12"/>
    <w:rsid w:val="7CC80DF1"/>
    <w:rsid w:val="7CF8146F"/>
    <w:rsid w:val="7D327DB0"/>
    <w:rsid w:val="7E1D19EA"/>
    <w:rsid w:val="7E7F72F0"/>
    <w:rsid w:val="7EDC4BD3"/>
    <w:rsid w:val="7F1B7CAE"/>
    <w:rsid w:val="7F9F6E3D"/>
    <w:rsid w:val="7FC91A48"/>
    <w:rsid w:val="7FE900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字符"/>
    <w:basedOn w:val="29"/>
    <w:link w:val="13"/>
    <w:semiHidden/>
    <w:qFormat/>
    <w:uiPriority w:val="99"/>
    <w:rPr>
      <w:rFonts w:ascii="宋体"/>
      <w:kern w:val="2"/>
      <w:sz w:val="18"/>
      <w:szCs w:val="18"/>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3">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table" w:customStyle="1" w:styleId="234">
    <w:name w:val="网格型1"/>
    <w:basedOn w:val="27"/>
    <w:autoRedefine/>
    <w:qFormat/>
    <w:uiPriority w:val="0"/>
    <w:rPr>
      <w:rFonts w:ascii="宋体" w:hAnsi="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35">
    <w:name w:val="WPSOffice手动目录 1"/>
    <w:qFormat/>
    <w:uiPriority w:val="0"/>
    <w:pPr>
      <w:ind w:leftChars="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DDB42139B51410F9862AFCE5A25033D"/>
        <w:style w:val=""/>
        <w:category>
          <w:name w:val="常规"/>
          <w:gallery w:val="placeholder"/>
        </w:category>
        <w:types>
          <w:type w:val="bbPlcHdr"/>
        </w:types>
        <w:behaviors>
          <w:behavior w:val="content"/>
        </w:behaviors>
        <w:description w:val=""/>
        <w:guid w:val="{F065490B-320A-4727-B190-EAF99ECEE290}"/>
      </w:docPartPr>
      <w:docPartBody>
        <w:p w14:paraId="2A4384B5">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B66C64"/>
    <w:rsid w:val="00316A2F"/>
    <w:rsid w:val="003613D0"/>
    <w:rsid w:val="004C5C95"/>
    <w:rsid w:val="00540ABE"/>
    <w:rsid w:val="005A3F6E"/>
    <w:rsid w:val="005B1174"/>
    <w:rsid w:val="005C2030"/>
    <w:rsid w:val="006B4BB3"/>
    <w:rsid w:val="006D276B"/>
    <w:rsid w:val="006F0C1A"/>
    <w:rsid w:val="008A2BE6"/>
    <w:rsid w:val="008F337E"/>
    <w:rsid w:val="009264EC"/>
    <w:rsid w:val="00A5632B"/>
    <w:rsid w:val="00AC700B"/>
    <w:rsid w:val="00B66C64"/>
    <w:rsid w:val="00B73E22"/>
    <w:rsid w:val="00BC5C2F"/>
    <w:rsid w:val="00C56716"/>
    <w:rsid w:val="00C81760"/>
    <w:rsid w:val="00CF58D9"/>
    <w:rsid w:val="00DE65C7"/>
    <w:rsid w:val="00E57457"/>
    <w:rsid w:val="00EB2CA5"/>
    <w:rsid w:val="00EB3FF4"/>
    <w:rsid w:val="00F81B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DDB42139B51410F9862AFCE5A25033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2AD85-7CB4-4CEC-A56B-9A96A92FD552}">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4998</Words>
  <Characters>5559</Characters>
  <Lines>49</Lines>
  <Paragraphs>14</Paragraphs>
  <TotalTime>1</TotalTime>
  <ScaleCrop>false</ScaleCrop>
  <LinksUpToDate>false</LinksUpToDate>
  <CharactersWithSpaces>5964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2024-08-02T06:43:00Z</dcterms:created>
  <dc:creator>Administrator</dc:creator>
  <dc:description>&lt;config cover="true" show_menu="true" version="1.0.0" doctype="SDKXY"&gt;_x000d_
&lt;/config&gt;</dc:description>
  <cp:lastModifiedBy>小太阳</cp:lastModifiedBy>
  <cp:lastPrinted>2024-07-23T02:09:00Z</cp:lastPrinted>
  <dcterms:modified xsi:type="dcterms:W3CDTF">2024-08-02T08:05:31Z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1139C8C1A714434E96BC6D7C512453CA</vt:lpwstr>
  </property>
</Properties>
</file>